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9FA67" w14:textId="59B88777" w:rsidR="00DD4751" w:rsidRDefault="00CC4CEA" w:rsidP="00E273D4">
      <w:pPr>
        <w:pStyle w:val="berschrift1"/>
      </w:pPr>
      <w:bookmarkStart w:id="0" w:name="_GoBack"/>
      <w:bookmarkEnd w:id="0"/>
      <w:r>
        <w:t>S</w:t>
      </w:r>
      <w:r w:rsidR="00C34445">
        <w:t>ICK AG erreicht prognostizierte</w:t>
      </w:r>
      <w:r>
        <w:t xml:space="preserve"> Ziele für 2019</w:t>
      </w:r>
    </w:p>
    <w:p w14:paraId="18B81EDC" w14:textId="1260114B" w:rsidR="00D73797" w:rsidRDefault="00EB521A" w:rsidP="00CC4CEA">
      <w:pPr>
        <w:pStyle w:val="Untertitel"/>
      </w:pPr>
      <w:r>
        <w:t xml:space="preserve">Solides </w:t>
      </w:r>
      <w:r w:rsidR="00CC4CEA">
        <w:t xml:space="preserve">Wachstum </w:t>
      </w:r>
      <w:r w:rsidR="002379C3">
        <w:t>bei hohen</w:t>
      </w:r>
      <w:r w:rsidR="00CC4CEA">
        <w:t xml:space="preserve"> </w:t>
      </w:r>
      <w:r w:rsidR="000E218D">
        <w:t>Investitionen</w:t>
      </w:r>
      <w:r w:rsidR="00CC4CEA">
        <w:t xml:space="preserve"> in Forschung und Entwicklung </w:t>
      </w:r>
    </w:p>
    <w:p w14:paraId="6A849571" w14:textId="77777777" w:rsidR="00D73797" w:rsidRDefault="00D73797" w:rsidP="00D73797"/>
    <w:p w14:paraId="7B6600BD" w14:textId="77777777" w:rsidR="00D36503" w:rsidRDefault="00D36503" w:rsidP="00D73797"/>
    <w:p w14:paraId="13375A0F" w14:textId="38CA7A07" w:rsidR="00DD4751" w:rsidRDefault="00CC4CEA" w:rsidP="00D36503">
      <w:pPr>
        <w:pStyle w:val="Lead"/>
      </w:pPr>
      <w:r>
        <w:t>Waldkirch, 29</w:t>
      </w:r>
      <w:r w:rsidR="000E2D3C" w:rsidRPr="00315A5A">
        <w:t>.</w:t>
      </w:r>
      <w:r>
        <w:t xml:space="preserve"> April 2020</w:t>
      </w:r>
      <w:r w:rsidR="00BA26EB">
        <w:t xml:space="preserve"> – </w:t>
      </w:r>
      <w:r>
        <w:t xml:space="preserve">Die SICK AG konnte ihr Wachstum </w:t>
      </w:r>
      <w:r w:rsidR="00EB521A">
        <w:t>in einem herausfordernden</w:t>
      </w:r>
      <w:r>
        <w:t xml:space="preserve"> Marktumfeld </w:t>
      </w:r>
      <w:r w:rsidR="00B71337">
        <w:t>weiter fortsetzen.</w:t>
      </w:r>
      <w:r>
        <w:t xml:space="preserve"> Der Sensorhersteller </w:t>
      </w:r>
      <w:r w:rsidR="00EB521A">
        <w:t>erhöhte</w:t>
      </w:r>
      <w:r>
        <w:t xml:space="preserve"> seinen Umsatz im </w:t>
      </w:r>
      <w:r w:rsidR="00B71337">
        <w:t>Geschäftsjahr 2019</w:t>
      </w:r>
      <w:r>
        <w:t xml:space="preserve"> </w:t>
      </w:r>
      <w:r w:rsidR="00EB521A">
        <w:t xml:space="preserve">um 7 Prozent </w:t>
      </w:r>
      <w:r w:rsidR="00435440">
        <w:t>auf 1.750,7 Millionen</w:t>
      </w:r>
      <w:r>
        <w:t xml:space="preserve"> Euro </w:t>
      </w:r>
      <w:r w:rsidR="00EB521A">
        <w:t>(2018: 1.636,8 Mi</w:t>
      </w:r>
      <w:r w:rsidR="0090456B">
        <w:t>llionen Euro</w:t>
      </w:r>
      <w:r w:rsidR="00EB521A">
        <w:t>). Das Wachstum l</w:t>
      </w:r>
      <w:r w:rsidR="0090456B">
        <w:t xml:space="preserve">ag somit deutlich über der Entwicklung der Sensorikbranche, die vom AMA Verband für Sensorik und Messtechnik mit </w:t>
      </w:r>
      <w:r w:rsidR="0045390B">
        <w:t>-1</w:t>
      </w:r>
      <w:r w:rsidR="0090456B">
        <w:t xml:space="preserve"> Prozent </w:t>
      </w:r>
      <w:r w:rsidR="002379C3">
        <w:t>für</w:t>
      </w:r>
      <w:r w:rsidR="0090456B">
        <w:t xml:space="preserve"> 2019 </w:t>
      </w:r>
      <w:r w:rsidR="002379C3">
        <w:t>angegeben</w:t>
      </w:r>
      <w:r w:rsidR="0090456B">
        <w:t xml:space="preserve"> wurde. </w:t>
      </w:r>
      <w:r w:rsidR="002379C3">
        <w:t xml:space="preserve">SICK </w:t>
      </w:r>
      <w:r w:rsidR="009541C7">
        <w:t xml:space="preserve">konnte </w:t>
      </w:r>
      <w:r w:rsidR="0090456B">
        <w:t>2019 einen erneut hohen Auftragseingang von 1.77</w:t>
      </w:r>
      <w:r w:rsidR="00435440">
        <w:t>4,1 Millionen Euro (2018: 1.701,0 Millionen</w:t>
      </w:r>
      <w:r w:rsidR="0090456B">
        <w:t xml:space="preserve"> Euro) verzeichnen. Die weltweite Beschäftigtenzahl </w:t>
      </w:r>
      <w:r w:rsidR="004A0A9C">
        <w:t>stieg</w:t>
      </w:r>
      <w:r w:rsidR="0090456B">
        <w:t xml:space="preserve"> um 2,6 Prozent auf 10.204 Mitarbeitende. </w:t>
      </w:r>
    </w:p>
    <w:p w14:paraId="4D86AD9E" w14:textId="77777777" w:rsidR="0090456B" w:rsidRPr="003E6F2C" w:rsidRDefault="0090456B" w:rsidP="003E6F2C"/>
    <w:p w14:paraId="42BF5AC5" w14:textId="754240B4" w:rsidR="003E6F2C" w:rsidRDefault="002379C3" w:rsidP="003E6F2C">
      <w:r>
        <w:t xml:space="preserve">Das Umsatzwachstum trug, neben anderen Maßnahmen zur Effizienzsteigerung, zu einer </w:t>
      </w:r>
      <w:r w:rsidR="003E6F2C">
        <w:t>Erhöhung des EBIT um 13,1 Prozent a</w:t>
      </w:r>
      <w:r w:rsidR="000E7406">
        <w:t>uf 132,9 Millionen Euro</w:t>
      </w:r>
      <w:r>
        <w:t xml:space="preserve"> bei</w:t>
      </w:r>
      <w:r w:rsidR="00435440">
        <w:t>, das</w:t>
      </w:r>
      <w:r w:rsidR="000E7406">
        <w:t xml:space="preserve"> mit einem Anteil von 7,6 Prozent des Umsatzes unverändert hoch</w:t>
      </w:r>
      <w:r w:rsidR="00435440">
        <w:t xml:space="preserve"> blieb</w:t>
      </w:r>
      <w:r w:rsidR="000E7406">
        <w:t xml:space="preserve">. </w:t>
      </w:r>
      <w:r w:rsidR="0033268E">
        <w:t>SICK konnte seine für das Geschäftsjahr 2019 prognostizierten Ziele somit erfüllen, wenngleich sich das Unternehmen mit einer Abkühlung der Weltkonjunktur, der Vertiefung globaler Ha</w:t>
      </w:r>
      <w:r w:rsidR="00446869">
        <w:t xml:space="preserve">ndelsstreitigkeiten sowie einer schwierigen Marktsituation in der Fabrikautomation </w:t>
      </w:r>
      <w:r w:rsidR="00435440">
        <w:t xml:space="preserve">allgemein </w:t>
      </w:r>
      <w:r w:rsidR="00446869">
        <w:t xml:space="preserve">und </w:t>
      </w:r>
      <w:r w:rsidR="003F6798">
        <w:t xml:space="preserve">der </w:t>
      </w:r>
      <w:r w:rsidR="00446869">
        <w:t xml:space="preserve">Automobilbranche </w:t>
      </w:r>
      <w:r w:rsidR="00435440">
        <w:t xml:space="preserve">im Speziellen </w:t>
      </w:r>
      <w:r w:rsidR="0033268E">
        <w:t xml:space="preserve">konfrontiert sah. </w:t>
      </w:r>
      <w:r w:rsidR="00EA4782" w:rsidRPr="009C2371">
        <w:t xml:space="preserve">Gleichwohl </w:t>
      </w:r>
      <w:r w:rsidR="009C2371" w:rsidRPr="009C2371">
        <w:t>hielt</w:t>
      </w:r>
      <w:r w:rsidR="00EA4782" w:rsidRPr="009C2371">
        <w:t xml:space="preserve"> SICK </w:t>
      </w:r>
      <w:r w:rsidR="009C2371" w:rsidRPr="009C2371">
        <w:t>an seiner Innovationsstrategie fest</w:t>
      </w:r>
      <w:r w:rsidR="00EA4782" w:rsidRPr="009C2371">
        <w:t xml:space="preserve"> und hat mit 11,5 Prozent ern</w:t>
      </w:r>
      <w:r w:rsidR="00CD3E83">
        <w:t xml:space="preserve">eut einen </w:t>
      </w:r>
      <w:r w:rsidR="00EA4782" w:rsidRPr="009C2371">
        <w:t>hohen Anteil des Umsatzes in Forschung und Entwicklung investiert.</w:t>
      </w:r>
      <w:r w:rsidR="00504747">
        <w:br/>
      </w:r>
      <w:r w:rsidR="009F46BC">
        <w:br/>
        <w:t>„Viele Industrien stehen vor einem tiefgreifenden Strukturwandel und die Dynamik der Digitalisierung nimmt weiter zu. SICK</w:t>
      </w:r>
      <w:r w:rsidR="00B71337">
        <w:t xml:space="preserve"> hält</w:t>
      </w:r>
      <w:r w:rsidR="009F46BC">
        <w:t xml:space="preserve"> an den hohen Investitionen in Forschung und Entwicklung fest, um neue Technologien zusammen mit unserem traditionellen Automationsgeschäft weiter voranzubringen. Nur so können wir gemeinsam mit unseren Kunden die Chancen </w:t>
      </w:r>
      <w:r w:rsidR="00394B23">
        <w:t xml:space="preserve">digitaler Technologien </w:t>
      </w:r>
      <w:r w:rsidR="009F46BC">
        <w:t xml:space="preserve">nutzen, um </w:t>
      </w:r>
      <w:r w:rsidR="00394B23">
        <w:t>agiler auf die sich schnell ändernden wirtschaftlichen Rahmenbedingungen zu reagieren“, kommentierte Dr. Robert Bauer, Vorstandsvorsitzender der SICK AG, die Bilanzzahlen 2019</w:t>
      </w:r>
      <w:r>
        <w:t xml:space="preserve"> anlässlich der Veröffentlichung. Ein Großteil der </w:t>
      </w:r>
      <w:r w:rsidR="00394B23">
        <w:t>2018 gegründeten Start-up Initiativen hat bereits Marktreife erlangt un</w:t>
      </w:r>
      <w:r w:rsidR="00504747">
        <w:t>d trug mit Lösungen, etwa im Bereich KI-unterstützter Kamerasensorik oder fahrerloser Transportsysteme in der Intralogistik, zum Umsatz bei.</w:t>
      </w:r>
    </w:p>
    <w:p w14:paraId="4209FF46" w14:textId="77777777" w:rsidR="0045390B" w:rsidRDefault="0045390B" w:rsidP="003E6F2C"/>
    <w:p w14:paraId="1492F3C1" w14:textId="77777777" w:rsidR="0045390B" w:rsidRPr="0014437D" w:rsidRDefault="0014437D" w:rsidP="003E6F2C">
      <w:pPr>
        <w:rPr>
          <w:b/>
        </w:rPr>
      </w:pPr>
      <w:r w:rsidRPr="0014437D">
        <w:rPr>
          <w:b/>
        </w:rPr>
        <w:t xml:space="preserve">Große Marktunterschiede bei Nachfrage von Sensorik und Applikationslösungen </w:t>
      </w:r>
    </w:p>
    <w:p w14:paraId="188D0191" w14:textId="42BF7FE2" w:rsidR="00E62ABE" w:rsidRDefault="0014437D" w:rsidP="00E62ABE">
      <w:r>
        <w:br/>
      </w:r>
      <w:r w:rsidR="00B71337">
        <w:t>A</w:t>
      </w:r>
      <w:r w:rsidR="00A17DC8">
        <w:t>uftragseingang und Umsatz</w:t>
      </w:r>
      <w:r w:rsidR="00B71337">
        <w:t xml:space="preserve"> zeigten sich in den einzelnen Geschäftsbereichen und Regionen sehr heterogen</w:t>
      </w:r>
      <w:r w:rsidR="00A17DC8">
        <w:t xml:space="preserve"> und spiegelten die dynamischen konjunkturellen Entwicklungen wider. </w:t>
      </w:r>
      <w:r w:rsidR="00A17DC8" w:rsidRPr="00172098">
        <w:t xml:space="preserve">Während in der Fabrikautomation </w:t>
      </w:r>
      <w:r w:rsidR="00E62ABE" w:rsidRPr="00172098">
        <w:t>die Nachfrage weltweit sank,</w:t>
      </w:r>
      <w:r w:rsidR="00A17DC8" w:rsidRPr="00172098">
        <w:t xml:space="preserve"> konnte SICK</w:t>
      </w:r>
      <w:r w:rsidR="00172098">
        <w:t xml:space="preserve"> hingegen</w:t>
      </w:r>
      <w:r w:rsidR="00A17DC8" w:rsidRPr="00172098">
        <w:t xml:space="preserve"> in der Logistik- und </w:t>
      </w:r>
      <w:r w:rsidR="002379C3" w:rsidRPr="00172098">
        <w:t xml:space="preserve">in der </w:t>
      </w:r>
      <w:r w:rsidR="00A17DC8" w:rsidRPr="00172098">
        <w:t>Prozessautomation Marktanteile hinzugewinnen.</w:t>
      </w:r>
      <w:r w:rsidR="00A17DC8">
        <w:t xml:space="preserve"> </w:t>
      </w:r>
      <w:r w:rsidR="00E62ABE">
        <w:t>Durch diese breite Branchenaufstellung konnten Stagnationen in einzelnen Segmenten ausgeglichen werden. Neben der Präsenz in den etablierten Märkten trugen</w:t>
      </w:r>
      <w:r w:rsidR="002379C3">
        <w:t xml:space="preserve"> </w:t>
      </w:r>
      <w:r w:rsidR="00E62ABE">
        <w:t xml:space="preserve">auch die Vertriebsaktivitäten in den Wachstumsregionen dieser Welt dazu bei, den Umsatz weiter zu erhöhen. </w:t>
      </w:r>
    </w:p>
    <w:p w14:paraId="7481C54E" w14:textId="77777777" w:rsidR="00E62ABE" w:rsidRDefault="00E62ABE" w:rsidP="00E62ABE"/>
    <w:p w14:paraId="317B32EE" w14:textId="77777777" w:rsidR="00B71337" w:rsidRDefault="00B71337" w:rsidP="0014437D"/>
    <w:p w14:paraId="5E5D9606" w14:textId="11B95F2A" w:rsidR="00FD75CF" w:rsidRPr="00FD75CF" w:rsidRDefault="00E62ABE" w:rsidP="00FD75CF">
      <w:pPr>
        <w:rPr>
          <w:rFonts w:cs="Arial"/>
          <w:szCs w:val="20"/>
        </w:rPr>
      </w:pPr>
      <w:r>
        <w:lastRenderedPageBreak/>
        <w:t xml:space="preserve">Im Heimatmarkt Deutschland lag der Umsatz mit </w:t>
      </w:r>
      <w:r w:rsidR="000E218D">
        <w:t xml:space="preserve">einer Veränderung von </w:t>
      </w:r>
      <w:r>
        <w:t xml:space="preserve">-0,6 Prozent </w:t>
      </w:r>
      <w:r w:rsidR="00CD3E83">
        <w:t>geringfügig</w:t>
      </w:r>
      <w:r>
        <w:t xml:space="preserve"> unter dem Vorjahr. Die Investitionszurückhaltung der deutschen Unternehmen sorgte vor allem im Automobilbereich für </w:t>
      </w:r>
      <w:r w:rsidR="00AB73BD">
        <w:t xml:space="preserve">Umsatzeinbußen. </w:t>
      </w:r>
      <w:r w:rsidR="006A704A">
        <w:t>Deutlich s</w:t>
      </w:r>
      <w:r w:rsidR="009541C7">
        <w:t>tabiler</w:t>
      </w:r>
      <w:r w:rsidR="00AB73BD">
        <w:t xml:space="preserve"> verlief das Geschäftsjahr in der Vertriebsregion </w:t>
      </w:r>
      <w:r w:rsidR="00AB73BD" w:rsidRPr="00AB73BD">
        <w:rPr>
          <w:rFonts w:cs="Arial"/>
          <w:szCs w:val="20"/>
        </w:rPr>
        <w:t>Europa</w:t>
      </w:r>
      <w:r w:rsidR="00AB73BD">
        <w:rPr>
          <w:rFonts w:cs="Arial"/>
          <w:szCs w:val="20"/>
        </w:rPr>
        <w:t>, Naher Osten und Afrika (EMEA). Trotz Verlangsamung der Konjunktur konnte SICK dort ein Umsatzplus von 7,9 Prozent erreichen. Insbesondere sorgten die Geschäfte in I</w:t>
      </w:r>
      <w:r w:rsidR="00AB73BD" w:rsidRPr="00AB73BD">
        <w:rPr>
          <w:rFonts w:cs="Arial"/>
          <w:szCs w:val="20"/>
        </w:rPr>
        <w:t>talien, Österreich,</w:t>
      </w:r>
      <w:r w:rsidR="00AB73BD">
        <w:rPr>
          <w:rFonts w:cs="Arial"/>
          <w:szCs w:val="20"/>
        </w:rPr>
        <w:t xml:space="preserve"> </w:t>
      </w:r>
      <w:r w:rsidR="00AB73BD" w:rsidRPr="00AB73BD">
        <w:rPr>
          <w:rFonts w:cs="Arial"/>
          <w:szCs w:val="20"/>
        </w:rPr>
        <w:t>Schweden und</w:t>
      </w:r>
      <w:r w:rsidR="00AB73BD">
        <w:rPr>
          <w:rFonts w:cs="Arial"/>
          <w:szCs w:val="20"/>
        </w:rPr>
        <w:t xml:space="preserve"> Norwegen sowie Großbritannien für positive Impulse. Mit 7,6 Prozent lag das Umsatzwachstum in </w:t>
      </w:r>
      <w:r w:rsidR="00AB73BD" w:rsidRPr="00AB73BD">
        <w:rPr>
          <w:rFonts w:cs="Arial"/>
          <w:szCs w:val="20"/>
        </w:rPr>
        <w:t>Nord-, Mittel- und Südamerika (Americas)</w:t>
      </w:r>
      <w:r w:rsidR="00AB73BD">
        <w:rPr>
          <w:rFonts w:cs="Arial"/>
          <w:szCs w:val="20"/>
        </w:rPr>
        <w:t xml:space="preserve"> auf einem ähnlichen Niveau. SICK konnte in Nordamerika eine weiter gestiegene</w:t>
      </w:r>
      <w:r w:rsidR="00AB73BD" w:rsidRPr="00AB73BD">
        <w:rPr>
          <w:rFonts w:cs="Arial"/>
          <w:szCs w:val="20"/>
        </w:rPr>
        <w:t xml:space="preserve"> Nachfrage</w:t>
      </w:r>
      <w:r w:rsidR="00AB73BD">
        <w:rPr>
          <w:rFonts w:cs="Arial"/>
          <w:szCs w:val="20"/>
        </w:rPr>
        <w:t xml:space="preserve"> in der</w:t>
      </w:r>
      <w:r w:rsidR="00AB73BD" w:rsidRPr="00AB73BD">
        <w:rPr>
          <w:rFonts w:cs="Arial"/>
          <w:szCs w:val="20"/>
        </w:rPr>
        <w:t xml:space="preserve"> Intra- und Transportlogistik</w:t>
      </w:r>
      <w:r w:rsidR="00AB73BD">
        <w:rPr>
          <w:rFonts w:cs="Arial"/>
          <w:szCs w:val="20"/>
        </w:rPr>
        <w:t xml:space="preserve"> </w:t>
      </w:r>
      <w:r w:rsidR="00AB73BD" w:rsidRPr="00AB73BD">
        <w:rPr>
          <w:rFonts w:cs="Arial"/>
          <w:szCs w:val="20"/>
        </w:rPr>
        <w:t>sowie</w:t>
      </w:r>
      <w:r w:rsidR="00CD3E83">
        <w:rPr>
          <w:rFonts w:cs="Arial"/>
          <w:szCs w:val="20"/>
        </w:rPr>
        <w:t xml:space="preserve"> in</w:t>
      </w:r>
      <w:r w:rsidR="00AB73BD" w:rsidRPr="00AB73BD">
        <w:rPr>
          <w:rFonts w:cs="Arial"/>
          <w:szCs w:val="20"/>
        </w:rPr>
        <w:t xml:space="preserve"> der Öl- und Gasindustrie</w:t>
      </w:r>
      <w:r w:rsidR="00AB73BD">
        <w:rPr>
          <w:rFonts w:cs="Arial"/>
          <w:szCs w:val="20"/>
        </w:rPr>
        <w:t xml:space="preserve"> verzeichnen</w:t>
      </w:r>
      <w:r w:rsidR="00AB73BD" w:rsidRPr="00AB73BD">
        <w:rPr>
          <w:rFonts w:cs="Arial"/>
          <w:szCs w:val="20"/>
        </w:rPr>
        <w:t xml:space="preserve">. </w:t>
      </w:r>
      <w:r w:rsidR="00AB73BD">
        <w:rPr>
          <w:rFonts w:cs="Arial"/>
          <w:szCs w:val="20"/>
        </w:rPr>
        <w:t xml:space="preserve">Die weltweit stärkste Wachstumsregion </w:t>
      </w:r>
      <w:r w:rsidR="00FD75CF">
        <w:rPr>
          <w:rFonts w:cs="Arial"/>
          <w:szCs w:val="20"/>
        </w:rPr>
        <w:t xml:space="preserve">war </w:t>
      </w:r>
      <w:r w:rsidR="00435440">
        <w:rPr>
          <w:rFonts w:cs="Arial"/>
          <w:szCs w:val="20"/>
        </w:rPr>
        <w:t xml:space="preserve">unverändert </w:t>
      </w:r>
      <w:r w:rsidR="00AB73BD">
        <w:rPr>
          <w:rFonts w:cs="Arial"/>
          <w:szCs w:val="20"/>
        </w:rPr>
        <w:t>Asien-Pazifik</w:t>
      </w:r>
      <w:r w:rsidR="00FD75CF">
        <w:rPr>
          <w:rFonts w:cs="Arial"/>
          <w:szCs w:val="20"/>
        </w:rPr>
        <w:t xml:space="preserve">, wo die Entwicklung </w:t>
      </w:r>
      <w:r w:rsidR="00435440">
        <w:rPr>
          <w:rFonts w:cs="Arial"/>
          <w:szCs w:val="20"/>
        </w:rPr>
        <w:t>dynamisch</w:t>
      </w:r>
      <w:r w:rsidR="00FD75CF">
        <w:rPr>
          <w:rFonts w:cs="Arial"/>
          <w:szCs w:val="20"/>
        </w:rPr>
        <w:t xml:space="preserve"> ausfiel. </w:t>
      </w:r>
      <w:r w:rsidR="00FD75CF" w:rsidRPr="00FD75CF">
        <w:rPr>
          <w:rFonts w:cs="Arial"/>
          <w:szCs w:val="20"/>
        </w:rPr>
        <w:t>Mit einem Zuwachs von 11,3 Prozent blieb das Umsatzplus auch</w:t>
      </w:r>
      <w:r w:rsidR="002379C3">
        <w:rPr>
          <w:rFonts w:cs="Arial"/>
          <w:szCs w:val="20"/>
        </w:rPr>
        <w:t xml:space="preserve"> </w:t>
      </w:r>
      <w:r w:rsidR="00FD75CF" w:rsidRPr="00FD75CF">
        <w:rPr>
          <w:rFonts w:cs="Arial"/>
          <w:szCs w:val="20"/>
        </w:rPr>
        <w:t>2019 zweistellig</w:t>
      </w:r>
      <w:r w:rsidR="00FD75CF">
        <w:rPr>
          <w:rFonts w:cs="Arial"/>
          <w:szCs w:val="20"/>
        </w:rPr>
        <w:t>, v</w:t>
      </w:r>
      <w:r w:rsidR="00FD75CF" w:rsidRPr="00FD75CF">
        <w:rPr>
          <w:rFonts w:cs="Arial"/>
          <w:szCs w:val="20"/>
        </w:rPr>
        <w:t>or</w:t>
      </w:r>
      <w:r w:rsidR="00FD75CF">
        <w:rPr>
          <w:rFonts w:cs="Arial"/>
          <w:szCs w:val="20"/>
        </w:rPr>
        <w:t xml:space="preserve"> </w:t>
      </w:r>
      <w:r w:rsidR="00FD75CF" w:rsidRPr="00FD75CF">
        <w:rPr>
          <w:rFonts w:cs="Arial"/>
          <w:szCs w:val="20"/>
        </w:rPr>
        <w:t>allem in China und Japan konnte das Geschäftsvolumen wieder</w:t>
      </w:r>
    </w:p>
    <w:p w14:paraId="47513B8C" w14:textId="77777777" w:rsidR="003B1CA4" w:rsidRDefault="00FD75CF" w:rsidP="006A704A">
      <w:pPr>
        <w:rPr>
          <w:rFonts w:cs="Arial"/>
          <w:szCs w:val="20"/>
        </w:rPr>
      </w:pPr>
      <w:r w:rsidRPr="00FD75CF">
        <w:rPr>
          <w:rFonts w:cs="Arial"/>
          <w:szCs w:val="20"/>
        </w:rPr>
        <w:t>gesteigert werden.</w:t>
      </w:r>
      <w:r w:rsidR="006A704A">
        <w:rPr>
          <w:rFonts w:cs="Arial"/>
          <w:szCs w:val="20"/>
        </w:rPr>
        <w:t xml:space="preserve"> Die Währungseffekte hatten im Geschäftsjahr 2019 einen leicht positiven Einfluss auf die Entwicklung des Konzernumsatzes</w:t>
      </w:r>
      <w:r w:rsidR="003B1CA4">
        <w:rPr>
          <w:rFonts w:cs="Arial"/>
          <w:szCs w:val="20"/>
        </w:rPr>
        <w:t xml:space="preserve">. </w:t>
      </w:r>
    </w:p>
    <w:p w14:paraId="12663BC2" w14:textId="77777777" w:rsidR="003B1CA4" w:rsidRDefault="003B1CA4" w:rsidP="006A704A">
      <w:pPr>
        <w:rPr>
          <w:rFonts w:cs="Arial"/>
          <w:szCs w:val="20"/>
        </w:rPr>
      </w:pPr>
    </w:p>
    <w:p w14:paraId="770F4968" w14:textId="75BCB122" w:rsidR="006A704A" w:rsidRPr="003B1CA4" w:rsidRDefault="003B1CA4" w:rsidP="006A704A">
      <w:pPr>
        <w:rPr>
          <w:rFonts w:cs="Arial"/>
          <w:b/>
          <w:szCs w:val="20"/>
        </w:rPr>
      </w:pPr>
      <w:r w:rsidRPr="003B1CA4">
        <w:rPr>
          <w:rFonts w:cs="Arial"/>
          <w:b/>
          <w:szCs w:val="20"/>
        </w:rPr>
        <w:t xml:space="preserve">Hohe Profitabilität </w:t>
      </w:r>
      <w:r w:rsidR="002379C3">
        <w:rPr>
          <w:rFonts w:cs="Arial"/>
          <w:b/>
          <w:szCs w:val="20"/>
        </w:rPr>
        <w:t>schafft stabile Basis für unruhige Zeiten</w:t>
      </w:r>
    </w:p>
    <w:p w14:paraId="20800302" w14:textId="77777777" w:rsidR="003B1CA4" w:rsidRDefault="003B1CA4" w:rsidP="006A704A">
      <w:pPr>
        <w:rPr>
          <w:rFonts w:cs="Arial"/>
          <w:szCs w:val="20"/>
        </w:rPr>
      </w:pPr>
    </w:p>
    <w:p w14:paraId="6A0030AD" w14:textId="6A7667F9" w:rsidR="00DC6160" w:rsidRDefault="003B1CA4" w:rsidP="00AB73BD">
      <w:pPr>
        <w:rPr>
          <w:rFonts w:cs="Arial"/>
          <w:szCs w:val="20"/>
        </w:rPr>
      </w:pPr>
      <w:r>
        <w:rPr>
          <w:rFonts w:cs="Arial"/>
          <w:szCs w:val="20"/>
        </w:rPr>
        <w:t>Das Ergebnis vor Zinsen und Steuern (EBIT) erhöhte sich im Geschäftsjahr 2019 von 117,5 Millionen Euro auf 132,9 Millionen Euro. Unterstützt wurde d</w:t>
      </w:r>
      <w:r w:rsidR="00F9629B">
        <w:rPr>
          <w:rFonts w:cs="Arial"/>
          <w:szCs w:val="20"/>
        </w:rPr>
        <w:t>iese Entwicklung</w:t>
      </w:r>
      <w:r>
        <w:rPr>
          <w:rFonts w:cs="Arial"/>
          <w:szCs w:val="20"/>
        </w:rPr>
        <w:t xml:space="preserve"> durch eine Beruhigung der Beschaffungsmärkte und dem damit verbundenen Rückgang außerordentlicher Aufwendungen zur Sicherstellung der Lieferfähigkeit. Zusammen mit dem erfreulichen Umsatzwachstum kann SICK 2019 eine </w:t>
      </w:r>
      <w:r w:rsidR="00C20493">
        <w:rPr>
          <w:rFonts w:cs="Arial"/>
          <w:szCs w:val="20"/>
        </w:rPr>
        <w:t xml:space="preserve">erneut </w:t>
      </w:r>
      <w:r w:rsidR="00DC6160">
        <w:rPr>
          <w:rFonts w:cs="Arial"/>
          <w:szCs w:val="20"/>
        </w:rPr>
        <w:t>hohe Profitabilität ver</w:t>
      </w:r>
      <w:r w:rsidR="00806DBE">
        <w:rPr>
          <w:rFonts w:cs="Arial"/>
          <w:szCs w:val="20"/>
        </w:rPr>
        <w:t>zeichnen</w:t>
      </w:r>
      <w:r w:rsidR="00DC6160">
        <w:rPr>
          <w:rFonts w:cs="Arial"/>
          <w:szCs w:val="20"/>
        </w:rPr>
        <w:t xml:space="preserve">. </w:t>
      </w:r>
      <w:r w:rsidR="00435440">
        <w:rPr>
          <w:rFonts w:cs="Arial"/>
          <w:szCs w:val="20"/>
        </w:rPr>
        <w:br/>
      </w:r>
      <w:r w:rsidR="00DC6160">
        <w:rPr>
          <w:rFonts w:cs="Arial"/>
          <w:szCs w:val="20"/>
        </w:rPr>
        <w:t xml:space="preserve">Für ein nachhaltiges Wachstum in einem volatilen Marktumfeld sind anhaltend hohe Aufwendungen und Investitionen </w:t>
      </w:r>
      <w:r w:rsidR="00F243ED">
        <w:rPr>
          <w:rFonts w:cs="Arial"/>
          <w:szCs w:val="20"/>
        </w:rPr>
        <w:t>erforderlich</w:t>
      </w:r>
      <w:r w:rsidR="00DC6160">
        <w:rPr>
          <w:rFonts w:cs="Arial"/>
          <w:szCs w:val="20"/>
        </w:rPr>
        <w:t xml:space="preserve">. Die hohe Profitabilität </w:t>
      </w:r>
      <w:r w:rsidR="00F243ED">
        <w:rPr>
          <w:rFonts w:cs="Arial"/>
          <w:szCs w:val="20"/>
        </w:rPr>
        <w:t>des SICK-Konzerns</w:t>
      </w:r>
      <w:r w:rsidR="00DC6160">
        <w:rPr>
          <w:rFonts w:cs="Arial"/>
          <w:szCs w:val="20"/>
        </w:rPr>
        <w:t xml:space="preserve"> ermöglicht auch zukünftig die notwendigen </w:t>
      </w:r>
      <w:r w:rsidR="00806DBE">
        <w:rPr>
          <w:rFonts w:cs="Arial"/>
          <w:szCs w:val="20"/>
        </w:rPr>
        <w:t>Investitionen in die</w:t>
      </w:r>
      <w:r w:rsidR="00DC6160">
        <w:rPr>
          <w:rFonts w:cs="Arial"/>
          <w:szCs w:val="20"/>
        </w:rPr>
        <w:t xml:space="preserve"> Sicherung </w:t>
      </w:r>
      <w:r w:rsidR="00806DBE">
        <w:rPr>
          <w:rFonts w:cs="Arial"/>
          <w:szCs w:val="20"/>
        </w:rPr>
        <w:t xml:space="preserve">der Marktposition und Innovationsführerschaft. Darüber hinaus </w:t>
      </w:r>
      <w:r w:rsidR="00F243ED">
        <w:rPr>
          <w:rFonts w:cs="Arial"/>
          <w:szCs w:val="20"/>
        </w:rPr>
        <w:t xml:space="preserve">bietet sie dem Unternehmen Stabilität in der </w:t>
      </w:r>
      <w:r w:rsidR="004802B4">
        <w:rPr>
          <w:rFonts w:cs="Arial"/>
          <w:szCs w:val="20"/>
        </w:rPr>
        <w:t>aktuellen Corona-Pandemie, deren wirtschaftliche Auswirkungen</w:t>
      </w:r>
      <w:r w:rsidR="00E9537E">
        <w:rPr>
          <w:rFonts w:cs="Arial"/>
          <w:szCs w:val="20"/>
        </w:rPr>
        <w:t xml:space="preserve"> für das Geschäftsjahr 2020</w:t>
      </w:r>
      <w:r w:rsidR="004802B4">
        <w:rPr>
          <w:rFonts w:cs="Arial"/>
          <w:szCs w:val="20"/>
        </w:rPr>
        <w:t xml:space="preserve"> noch nicht </w:t>
      </w:r>
      <w:r w:rsidR="00166B34">
        <w:rPr>
          <w:rFonts w:cs="Arial"/>
          <w:szCs w:val="20"/>
        </w:rPr>
        <w:t>abschätzbar</w:t>
      </w:r>
      <w:r w:rsidR="004802B4">
        <w:rPr>
          <w:rFonts w:cs="Arial"/>
          <w:szCs w:val="20"/>
        </w:rPr>
        <w:t xml:space="preserve"> sind. </w:t>
      </w:r>
    </w:p>
    <w:p w14:paraId="24584B98" w14:textId="77777777" w:rsidR="00E9537E" w:rsidRDefault="00E9537E" w:rsidP="00AB73BD">
      <w:pPr>
        <w:rPr>
          <w:rFonts w:cs="Arial"/>
          <w:szCs w:val="20"/>
        </w:rPr>
      </w:pPr>
    </w:p>
    <w:p w14:paraId="6A58CB86" w14:textId="77777777" w:rsidR="004802B4" w:rsidRDefault="00FB7847" w:rsidP="00AB73BD">
      <w:pPr>
        <w:rPr>
          <w:rFonts w:cs="Arial"/>
          <w:b/>
          <w:szCs w:val="20"/>
        </w:rPr>
      </w:pPr>
      <w:r w:rsidRPr="00FB7847">
        <w:rPr>
          <w:rFonts w:cs="Arial"/>
          <w:b/>
          <w:szCs w:val="20"/>
        </w:rPr>
        <w:t xml:space="preserve">Umsatztreibende Innovationen aus Start-ups und </w:t>
      </w:r>
      <w:r w:rsidR="00166B34">
        <w:rPr>
          <w:rFonts w:cs="Arial"/>
          <w:b/>
          <w:szCs w:val="20"/>
        </w:rPr>
        <w:t xml:space="preserve">Bestandsgeschäft </w:t>
      </w:r>
    </w:p>
    <w:p w14:paraId="6B84D48E" w14:textId="77777777" w:rsidR="00166B34" w:rsidRDefault="00166B34" w:rsidP="00AB73BD">
      <w:pPr>
        <w:rPr>
          <w:rFonts w:cs="Arial"/>
          <w:b/>
          <w:szCs w:val="20"/>
        </w:rPr>
      </w:pPr>
    </w:p>
    <w:p w14:paraId="61DB359C" w14:textId="1BD87A63" w:rsidR="00804217" w:rsidRDefault="00166B34" w:rsidP="00804217">
      <w:pPr>
        <w:rPr>
          <w:rFonts w:cs="Arial"/>
          <w:szCs w:val="20"/>
        </w:rPr>
      </w:pPr>
      <w:r w:rsidRPr="00166B34">
        <w:rPr>
          <w:rFonts w:cs="Arial"/>
          <w:szCs w:val="20"/>
        </w:rPr>
        <w:t xml:space="preserve">Wie auch in den vergangenen Jahren tätigte SICK im Geschäftsjahr 2019 hohe Aufwendungen für </w:t>
      </w:r>
      <w:r>
        <w:rPr>
          <w:rFonts w:cs="Arial"/>
          <w:szCs w:val="20"/>
        </w:rPr>
        <w:t>Forschung und Entwicklung</w:t>
      </w:r>
      <w:r w:rsidRPr="00166B34">
        <w:rPr>
          <w:rFonts w:cs="Arial"/>
          <w:szCs w:val="20"/>
        </w:rPr>
        <w:t xml:space="preserve">. </w:t>
      </w:r>
      <w:r>
        <w:rPr>
          <w:rFonts w:cs="Arial"/>
          <w:szCs w:val="20"/>
        </w:rPr>
        <w:t xml:space="preserve">Insgesamt </w:t>
      </w:r>
      <w:r w:rsidRPr="00166B34">
        <w:rPr>
          <w:rFonts w:cs="Arial"/>
          <w:szCs w:val="20"/>
        </w:rPr>
        <w:t xml:space="preserve">wendete </w:t>
      </w:r>
      <w:r>
        <w:rPr>
          <w:rFonts w:cs="Arial"/>
          <w:szCs w:val="20"/>
        </w:rPr>
        <w:t xml:space="preserve">das Unternehmen </w:t>
      </w:r>
      <w:r w:rsidR="000E218D">
        <w:rPr>
          <w:rFonts w:cs="Arial"/>
          <w:szCs w:val="20"/>
        </w:rPr>
        <w:t>202,0 Millionen Euro (2018: 192,5 Millionen</w:t>
      </w:r>
      <w:r w:rsidRPr="00166B34">
        <w:rPr>
          <w:rFonts w:cs="Arial"/>
          <w:szCs w:val="20"/>
        </w:rPr>
        <w:t xml:space="preserve"> Euro)</w:t>
      </w:r>
      <w:r w:rsidR="00435440">
        <w:rPr>
          <w:rFonts w:cs="Arial"/>
          <w:szCs w:val="20"/>
        </w:rPr>
        <w:t xml:space="preserve"> </w:t>
      </w:r>
      <w:r w:rsidR="00435440" w:rsidRPr="00435440">
        <w:rPr>
          <w:rFonts w:cs="Arial"/>
          <w:szCs w:val="20"/>
        </w:rPr>
        <w:t>–</w:t>
      </w:r>
      <w:r w:rsidR="00435440">
        <w:rPr>
          <w:rFonts w:cs="Arial"/>
          <w:szCs w:val="20"/>
        </w:rPr>
        <w:t xml:space="preserve"> 11,5 Prozent des Umsatzes </w:t>
      </w:r>
      <w:r w:rsidR="00435440" w:rsidRPr="00435440">
        <w:rPr>
          <w:rFonts w:cs="Arial"/>
          <w:szCs w:val="20"/>
        </w:rPr>
        <w:t>–</w:t>
      </w:r>
      <w:r>
        <w:rPr>
          <w:rFonts w:cs="Arial"/>
          <w:szCs w:val="20"/>
        </w:rPr>
        <w:t xml:space="preserve"> in F&amp;E-Aktivitäten </w:t>
      </w:r>
      <w:r w:rsidRPr="00166B34">
        <w:rPr>
          <w:rFonts w:cs="Arial"/>
          <w:szCs w:val="20"/>
        </w:rPr>
        <w:t xml:space="preserve">auf. </w:t>
      </w:r>
      <w:r w:rsidR="00280D81">
        <w:rPr>
          <w:rFonts w:cs="Arial"/>
          <w:szCs w:val="20"/>
        </w:rPr>
        <w:t>Im Bestandsgeschäft</w:t>
      </w:r>
      <w:r>
        <w:rPr>
          <w:rFonts w:cs="Arial"/>
          <w:szCs w:val="20"/>
        </w:rPr>
        <w:t xml:space="preserve"> erweiterte SICK sein Produktportfolio, um sich durch eine stärkere Angebotsdiversifizierung noch besser für Schwankungen einzelner Märkte zu rüsten. </w:t>
      </w:r>
      <w:r w:rsidR="00804217">
        <w:rPr>
          <w:rFonts w:cs="Arial"/>
          <w:szCs w:val="20"/>
        </w:rPr>
        <w:t>Schwerpunkte der Produktentwicklung lagen in der Vernetzungsfähigkeit der Sensorik im Kontext von Industrie 4</w:t>
      </w:r>
      <w:r w:rsidR="00F57517">
        <w:rPr>
          <w:rFonts w:cs="Arial"/>
          <w:szCs w:val="20"/>
        </w:rPr>
        <w:t xml:space="preserve">.0 sowie der Datensouveränität. Mit der Integration von Applikationswissen in der Software einzelner Produkte und den Möglichkeiten leistungsfähigerer Prozessoren und Speichertechnologien entwickelt sich SICK-Sensorik immer stärker hin zur Sensorintelligenz. </w:t>
      </w:r>
      <w:r w:rsidR="00804217">
        <w:rPr>
          <w:rFonts w:cs="Arial"/>
          <w:szCs w:val="20"/>
        </w:rPr>
        <w:br/>
      </w:r>
      <w:r w:rsidR="006E46F0">
        <w:rPr>
          <w:rFonts w:cs="Arial"/>
          <w:szCs w:val="20"/>
        </w:rPr>
        <w:t>Zudem</w:t>
      </w:r>
      <w:r w:rsidR="00280D81">
        <w:rPr>
          <w:rFonts w:cs="Arial"/>
          <w:szCs w:val="20"/>
        </w:rPr>
        <w:t xml:space="preserve"> zeigten auch die </w:t>
      </w:r>
      <w:r w:rsidR="00804217">
        <w:rPr>
          <w:rFonts w:cs="Arial"/>
          <w:szCs w:val="20"/>
        </w:rPr>
        <w:t>Start-up-Initiativen eine hohe Dynamik und konnten Kundenprojekte</w:t>
      </w:r>
      <w:r w:rsidR="00280D81">
        <w:rPr>
          <w:rFonts w:cs="Arial"/>
          <w:szCs w:val="20"/>
        </w:rPr>
        <w:t xml:space="preserve"> gewinnen</w:t>
      </w:r>
      <w:r w:rsidR="00804217">
        <w:rPr>
          <w:rFonts w:cs="Arial"/>
          <w:szCs w:val="20"/>
        </w:rPr>
        <w:t xml:space="preserve"> und Umsätze </w:t>
      </w:r>
      <w:r w:rsidR="00C262B1">
        <w:rPr>
          <w:rFonts w:cs="Arial"/>
          <w:szCs w:val="20"/>
        </w:rPr>
        <w:t xml:space="preserve">erzielen. So wird etwa mittels Deep Learning-Algorithmen eine Anwendung mit Kamerasensoren auf einem neuronalen Netz fortlaufend trainiert und so bei der Paketerkennung in der </w:t>
      </w:r>
      <w:r w:rsidR="00435440">
        <w:rPr>
          <w:rFonts w:cs="Arial"/>
          <w:szCs w:val="20"/>
        </w:rPr>
        <w:t>Logistik</w:t>
      </w:r>
      <w:r w:rsidR="00C262B1">
        <w:rPr>
          <w:rFonts w:cs="Arial"/>
          <w:szCs w:val="20"/>
        </w:rPr>
        <w:t xml:space="preserve"> eingesetzt. </w:t>
      </w:r>
    </w:p>
    <w:p w14:paraId="31A47C69" w14:textId="77777777" w:rsidR="00C262B1" w:rsidRDefault="00C262B1" w:rsidP="00804217">
      <w:pPr>
        <w:rPr>
          <w:rFonts w:cs="Arial"/>
          <w:szCs w:val="20"/>
        </w:rPr>
      </w:pPr>
    </w:p>
    <w:p w14:paraId="0E45A0B7" w14:textId="77777777" w:rsidR="00C262B1" w:rsidRPr="00C262B1" w:rsidRDefault="00C262B1" w:rsidP="00804217">
      <w:pPr>
        <w:rPr>
          <w:rFonts w:cs="Arial"/>
          <w:b/>
          <w:szCs w:val="20"/>
        </w:rPr>
      </w:pPr>
      <w:r w:rsidRPr="00C262B1">
        <w:rPr>
          <w:rFonts w:cs="Arial"/>
          <w:b/>
          <w:szCs w:val="20"/>
        </w:rPr>
        <w:t xml:space="preserve">Erstmals </w:t>
      </w:r>
      <w:r>
        <w:rPr>
          <w:rFonts w:cs="Arial"/>
          <w:b/>
          <w:szCs w:val="20"/>
        </w:rPr>
        <w:t xml:space="preserve">mehr als </w:t>
      </w:r>
      <w:r w:rsidRPr="00C262B1">
        <w:rPr>
          <w:rFonts w:cs="Arial"/>
          <w:b/>
          <w:szCs w:val="20"/>
        </w:rPr>
        <w:t>10.000 SICK-Beschäftigte weltweit</w:t>
      </w:r>
    </w:p>
    <w:p w14:paraId="2033346B" w14:textId="77777777" w:rsidR="00C262B1" w:rsidRDefault="00C262B1" w:rsidP="00804217">
      <w:pPr>
        <w:rPr>
          <w:rFonts w:cs="Arial"/>
          <w:szCs w:val="20"/>
        </w:rPr>
      </w:pPr>
    </w:p>
    <w:p w14:paraId="676EBF97" w14:textId="77777777" w:rsidR="007B13C2" w:rsidRPr="007B13C2" w:rsidRDefault="007B13C2" w:rsidP="007B13C2">
      <w:pPr>
        <w:rPr>
          <w:rFonts w:cs="Arial"/>
          <w:szCs w:val="20"/>
        </w:rPr>
      </w:pPr>
      <w:r w:rsidRPr="007B13C2">
        <w:rPr>
          <w:rFonts w:cs="Arial"/>
          <w:szCs w:val="20"/>
        </w:rPr>
        <w:t xml:space="preserve">Einhergehend mit dem Umsatzwachstum </w:t>
      </w:r>
      <w:r w:rsidR="00982F3B">
        <w:rPr>
          <w:rFonts w:cs="Arial"/>
          <w:szCs w:val="20"/>
        </w:rPr>
        <w:t xml:space="preserve">hat sich </w:t>
      </w:r>
      <w:r w:rsidR="00982F3B" w:rsidRPr="007B13C2">
        <w:rPr>
          <w:rFonts w:cs="Arial"/>
          <w:szCs w:val="20"/>
        </w:rPr>
        <w:t xml:space="preserve">auch die Beschäftigtenzahl </w:t>
      </w:r>
      <w:r w:rsidRPr="007B13C2">
        <w:rPr>
          <w:rFonts w:cs="Arial"/>
          <w:szCs w:val="20"/>
        </w:rPr>
        <w:t xml:space="preserve">im Geschäftsjahr </w:t>
      </w:r>
      <w:r w:rsidR="00982F3B">
        <w:rPr>
          <w:rFonts w:cs="Arial"/>
          <w:szCs w:val="20"/>
        </w:rPr>
        <w:t xml:space="preserve">2019 </w:t>
      </w:r>
    </w:p>
    <w:p w14:paraId="1EB8F214" w14:textId="4F2DDA69" w:rsidR="00982F3B" w:rsidRDefault="00982F3B" w:rsidP="007B13C2">
      <w:pPr>
        <w:rPr>
          <w:rFonts w:cs="Arial"/>
          <w:szCs w:val="20"/>
        </w:rPr>
      </w:pPr>
      <w:r>
        <w:rPr>
          <w:rFonts w:cs="Arial"/>
          <w:szCs w:val="20"/>
        </w:rPr>
        <w:t>um 2,6 Prozent</w:t>
      </w:r>
      <w:r w:rsidR="007B13C2" w:rsidRPr="007B13C2">
        <w:rPr>
          <w:rFonts w:cs="Arial"/>
          <w:szCs w:val="20"/>
        </w:rPr>
        <w:t xml:space="preserve"> leicht erhöht.</w:t>
      </w:r>
      <w:r>
        <w:rPr>
          <w:rFonts w:cs="Arial"/>
          <w:szCs w:val="20"/>
        </w:rPr>
        <w:t xml:space="preserve"> 10.204 Mitarbeiterinnen und Mitarbeiter sind an den weltweiten SICK-Standorten tätig, davon 1.310 im Bereich Forschung und Entwicklung. Die Personalarbeit war maßgeblich vom Kompetenzaufbau für </w:t>
      </w:r>
      <w:r w:rsidR="00435440">
        <w:rPr>
          <w:rFonts w:cs="Arial"/>
          <w:szCs w:val="20"/>
        </w:rPr>
        <w:t>die</w:t>
      </w:r>
      <w:r>
        <w:rPr>
          <w:rFonts w:cs="Arial"/>
          <w:szCs w:val="20"/>
        </w:rPr>
        <w:t xml:space="preserve"> Herausforderungen der digitalen Transformation, Agilität und zunehmenden Komplexität geprägt. </w:t>
      </w:r>
      <w:r w:rsidR="00B35CF4">
        <w:rPr>
          <w:rFonts w:cs="Arial"/>
          <w:szCs w:val="20"/>
        </w:rPr>
        <w:t>Durch kontinuierlich hohe</w:t>
      </w:r>
      <w:r>
        <w:rPr>
          <w:rFonts w:cs="Arial"/>
          <w:szCs w:val="20"/>
        </w:rPr>
        <w:t xml:space="preserve"> Aufwendungen in Aus- und Wei</w:t>
      </w:r>
      <w:r w:rsidR="00B35CF4">
        <w:rPr>
          <w:rFonts w:cs="Arial"/>
          <w:szCs w:val="20"/>
        </w:rPr>
        <w:t>terbildung möchte SICK seinen Beschäftigten die Chancen der digitalen Transformation</w:t>
      </w:r>
      <w:r w:rsidR="00AD2668">
        <w:rPr>
          <w:rFonts w:cs="Arial"/>
          <w:szCs w:val="20"/>
        </w:rPr>
        <w:t xml:space="preserve"> in einem hochinnovativen Umfeld</w:t>
      </w:r>
      <w:r w:rsidR="00B35CF4">
        <w:rPr>
          <w:rFonts w:cs="Arial"/>
          <w:szCs w:val="20"/>
        </w:rPr>
        <w:t xml:space="preserve"> eröffne</w:t>
      </w:r>
      <w:r w:rsidR="00AD2668">
        <w:rPr>
          <w:rFonts w:cs="Arial"/>
          <w:szCs w:val="20"/>
        </w:rPr>
        <w:t>n.</w:t>
      </w:r>
    </w:p>
    <w:p w14:paraId="7D4589E3" w14:textId="77777777" w:rsidR="00F7375F" w:rsidRPr="00F7375F" w:rsidRDefault="003F0285" w:rsidP="00F7375F">
      <w:pPr>
        <w:pStyle w:val="berschrift2"/>
      </w:pPr>
      <w:r>
        <w:lastRenderedPageBreak/>
        <w:t>H</w:t>
      </w:r>
      <w:r w:rsidR="00982F3B">
        <w:t xml:space="preserve">oher Auftragseingang im ersten Quartal 2020 </w:t>
      </w:r>
      <w:r w:rsidR="006D339F">
        <w:t>– Prognose durch Corona-Pandemie ungewiss</w:t>
      </w:r>
    </w:p>
    <w:p w14:paraId="6FC7D73A" w14:textId="0C389C4E" w:rsidR="006D339F" w:rsidRDefault="006D339F" w:rsidP="006D339F">
      <w:pPr>
        <w:rPr>
          <w:rFonts w:cs="Arial"/>
          <w:color w:val="000000"/>
          <w:szCs w:val="20"/>
        </w:rPr>
      </w:pPr>
      <w:r>
        <w:t>Schon vor Beginn der Ausbreitung des Coronavirus waren die</w:t>
      </w:r>
      <w:r w:rsidRPr="000F7ED1">
        <w:rPr>
          <w:rFonts w:cs="Arial"/>
          <w:color w:val="000000"/>
          <w:szCs w:val="20"/>
        </w:rPr>
        <w:t xml:space="preserve"> gesamtwirtschaftlichen Rahmenbedingungen herausfordernd</w:t>
      </w:r>
      <w:r>
        <w:rPr>
          <w:rFonts w:cs="Arial"/>
          <w:color w:val="000000"/>
          <w:szCs w:val="20"/>
        </w:rPr>
        <w:t>. In den ersten Monaten des neuen Geschäftsjahr</w:t>
      </w:r>
      <w:r w:rsidR="00435440">
        <w:rPr>
          <w:rFonts w:cs="Arial"/>
          <w:color w:val="000000"/>
          <w:szCs w:val="20"/>
        </w:rPr>
        <w:t>es</w:t>
      </w:r>
      <w:r>
        <w:rPr>
          <w:rFonts w:cs="Arial"/>
          <w:color w:val="000000"/>
          <w:szCs w:val="20"/>
        </w:rPr>
        <w:t xml:space="preserve"> 2020 konnte SICK weiterhin einen erfreulichen Umsatz und Auftragseingang verzeichnen. </w:t>
      </w:r>
      <w:r w:rsidR="009F4C2C">
        <w:rPr>
          <w:rFonts w:cs="Arial"/>
          <w:color w:val="000000"/>
          <w:szCs w:val="20"/>
        </w:rPr>
        <w:t xml:space="preserve">Das Unternehmen beobachtet </w:t>
      </w:r>
      <w:r>
        <w:rPr>
          <w:rFonts w:cs="Arial"/>
          <w:color w:val="000000"/>
          <w:szCs w:val="20"/>
        </w:rPr>
        <w:t>mit großer Sorge die Ausbreitung des Coronavirus sowie die Shutdowns in vielen Ländern und ha</w:t>
      </w:r>
      <w:r w:rsidR="009F4C2C">
        <w:rPr>
          <w:rFonts w:cs="Arial"/>
          <w:color w:val="000000"/>
          <w:szCs w:val="20"/>
        </w:rPr>
        <w:t>t</w:t>
      </w:r>
      <w:r>
        <w:rPr>
          <w:rFonts w:cs="Arial"/>
          <w:color w:val="000000"/>
          <w:szCs w:val="20"/>
        </w:rPr>
        <w:t xml:space="preserve"> frühzeitig Maßnahmen umgesetzt, um </w:t>
      </w:r>
      <w:r w:rsidR="00753F19">
        <w:rPr>
          <w:rFonts w:cs="Arial"/>
          <w:color w:val="000000"/>
          <w:szCs w:val="20"/>
        </w:rPr>
        <w:t xml:space="preserve">Mitarbeiterinnen und </w:t>
      </w:r>
      <w:r>
        <w:rPr>
          <w:rFonts w:cs="Arial"/>
          <w:color w:val="000000"/>
          <w:szCs w:val="20"/>
        </w:rPr>
        <w:t xml:space="preserve">Mitarbeiter sowie </w:t>
      </w:r>
      <w:r w:rsidR="009F4C2C">
        <w:rPr>
          <w:rFonts w:cs="Arial"/>
          <w:color w:val="000000"/>
          <w:szCs w:val="20"/>
        </w:rPr>
        <w:t>das</w:t>
      </w:r>
      <w:r>
        <w:rPr>
          <w:rFonts w:cs="Arial"/>
          <w:color w:val="000000"/>
          <w:szCs w:val="20"/>
        </w:rPr>
        <w:t xml:space="preserve"> Unternehmen zu schütze</w:t>
      </w:r>
      <w:r w:rsidR="00435440">
        <w:rPr>
          <w:rFonts w:cs="Arial"/>
          <w:color w:val="000000"/>
          <w:szCs w:val="20"/>
        </w:rPr>
        <w:t>n und lieferfähig zu bleiben</w:t>
      </w:r>
      <w:r>
        <w:rPr>
          <w:rFonts w:cs="Arial"/>
          <w:color w:val="000000"/>
          <w:szCs w:val="20"/>
        </w:rPr>
        <w:t xml:space="preserve">. </w:t>
      </w:r>
    </w:p>
    <w:p w14:paraId="4A0EEBA0" w14:textId="024B425F" w:rsidR="00FB0BDA" w:rsidRDefault="006D339F" w:rsidP="008B6429">
      <w:r>
        <w:rPr>
          <w:rFonts w:cs="Arial"/>
          <w:color w:val="000000"/>
          <w:szCs w:val="20"/>
        </w:rPr>
        <w:br/>
        <w:t>Die weltweiten Bemühungen zur Verlangsamung der Virusinfektion stellen eine nie dagewesene Herausforderung für die Weltgemeinschaft</w:t>
      </w:r>
      <w:r w:rsidR="009F4C2C">
        <w:rPr>
          <w:rFonts w:cs="Arial"/>
          <w:color w:val="000000"/>
          <w:szCs w:val="20"/>
        </w:rPr>
        <w:t xml:space="preserve"> dar. </w:t>
      </w:r>
      <w:r w:rsidR="009F4C2C">
        <w:t xml:space="preserve">Die wirtschaftlichen Auswirkungen sind derzeit noch nicht abschätzbar. </w:t>
      </w:r>
      <w:r w:rsidR="00FB0BDA">
        <w:t>Allerdings</w:t>
      </w:r>
      <w:r w:rsidR="009F4C2C">
        <w:t xml:space="preserve"> zeichnet sich bereits ab, dass Auftragslage und Geschäftsentwicklung in 2020 maßgeblich von der medizinischen und wirtschaftlichen Krise </w:t>
      </w:r>
      <w:r w:rsidR="00FB0BDA">
        <w:t xml:space="preserve">negativ </w:t>
      </w:r>
      <w:r w:rsidR="009F4C2C">
        <w:t xml:space="preserve">beeinflusst </w:t>
      </w:r>
      <w:r w:rsidR="00435440">
        <w:t xml:space="preserve">werden. </w:t>
      </w:r>
      <w:r w:rsidR="00FB0BDA" w:rsidRPr="00FB0BDA">
        <w:t xml:space="preserve">Doch auch in der </w:t>
      </w:r>
      <w:r w:rsidR="00FB0BDA">
        <w:t xml:space="preserve">derzeitigen </w:t>
      </w:r>
      <w:r w:rsidR="00FB0BDA" w:rsidRPr="00FB0BDA">
        <w:t>Krisensituation ist die Nachfrage nach A</w:t>
      </w:r>
      <w:r w:rsidR="00FB0BDA">
        <w:t>utomatisierungslösungen, z. B.  in der Logistik</w:t>
      </w:r>
      <w:r w:rsidR="00FB0BDA" w:rsidRPr="00FB0BDA">
        <w:t>, hoch.</w:t>
      </w:r>
      <w:r w:rsidR="00FB0BDA">
        <w:t xml:space="preserve"> SICK kann mit seinem innovativen Produkt- und Leistungsportfolio Unternehmen nach der Krise dabei unterstützen, weiterhin </w:t>
      </w:r>
      <w:r w:rsidR="005D6C83">
        <w:t xml:space="preserve">für Geschäftsprozesse </w:t>
      </w:r>
      <w:r w:rsidR="00FB0BDA">
        <w:t>geltende Einschränkungen zu überwinden. Mit seiner</w:t>
      </w:r>
      <w:r w:rsidR="00FB0BDA" w:rsidRPr="00FB0BDA">
        <w:t xml:space="preserve"> </w:t>
      </w:r>
      <w:r w:rsidR="00FB0BDA">
        <w:t>soliden Finanzlage ist der SICK-</w:t>
      </w:r>
      <w:r w:rsidR="00FB0BDA" w:rsidRPr="00FB0BDA">
        <w:t>Konzern aussichtsreich positioniert, um diese herausfordernde Phase zu bewältigen.</w:t>
      </w:r>
    </w:p>
    <w:p w14:paraId="00545D46" w14:textId="77777777" w:rsidR="00533585" w:rsidRPr="001A604B" w:rsidRDefault="00533585" w:rsidP="00533585">
      <w:pPr>
        <w:pStyle w:val="berschrift2"/>
        <w:suppressAutoHyphens/>
      </w:pPr>
      <w:r w:rsidRPr="00BD47D6">
        <w:t xml:space="preserve">Die </w:t>
      </w:r>
      <w:r w:rsidRPr="00517F77">
        <w:t>wichtigsten Kennzahlen</w:t>
      </w:r>
      <w:r>
        <w:t xml:space="preserve"> dieser Mitteilung im Überblick:</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626"/>
        <w:gridCol w:w="1559"/>
        <w:gridCol w:w="1985"/>
      </w:tblGrid>
      <w:tr w:rsidR="00533585" w:rsidRPr="005927EA" w14:paraId="5AF0EFF9" w14:textId="77777777" w:rsidTr="00C86499">
        <w:trPr>
          <w:trHeight w:val="416"/>
        </w:trPr>
        <w:tc>
          <w:tcPr>
            <w:tcW w:w="4111" w:type="dxa"/>
            <w:shd w:val="clear" w:color="auto" w:fill="007FC3"/>
            <w:vAlign w:val="center"/>
          </w:tcPr>
          <w:p w14:paraId="3F8B036C" w14:textId="77777777" w:rsidR="00533585" w:rsidRPr="005927EA" w:rsidRDefault="00533585" w:rsidP="00C86499">
            <w:pPr>
              <w:suppressAutoHyphens/>
              <w:ind w:left="708" w:hanging="708"/>
              <w:rPr>
                <w:rFonts w:cs="Arial"/>
                <w:b/>
                <w:color w:val="FFFFFF" w:themeColor="background1"/>
              </w:rPr>
            </w:pPr>
            <w:r w:rsidRPr="005927EA">
              <w:rPr>
                <w:rFonts w:cs="Arial"/>
                <w:b/>
                <w:color w:val="FFFFFF" w:themeColor="background1"/>
              </w:rPr>
              <w:t>SICK-Konzern (IFRS)</w:t>
            </w:r>
          </w:p>
        </w:tc>
        <w:tc>
          <w:tcPr>
            <w:tcW w:w="1626" w:type="dxa"/>
            <w:shd w:val="clear" w:color="auto" w:fill="007FC3"/>
            <w:vAlign w:val="center"/>
          </w:tcPr>
          <w:p w14:paraId="530F1A88" w14:textId="77777777" w:rsidR="00533585" w:rsidRPr="005927EA" w:rsidRDefault="00533585" w:rsidP="00F87F4C">
            <w:pPr>
              <w:suppressAutoHyphens/>
              <w:rPr>
                <w:rFonts w:cs="Arial"/>
                <w:b/>
                <w:color w:val="FFFFFF" w:themeColor="background1"/>
              </w:rPr>
            </w:pPr>
            <w:r>
              <w:rPr>
                <w:rFonts w:cs="Arial"/>
                <w:b/>
                <w:color w:val="FFFFFF" w:themeColor="background1"/>
              </w:rPr>
              <w:t>2018</w:t>
            </w:r>
          </w:p>
        </w:tc>
        <w:tc>
          <w:tcPr>
            <w:tcW w:w="1559" w:type="dxa"/>
            <w:shd w:val="clear" w:color="auto" w:fill="007FC3"/>
            <w:vAlign w:val="center"/>
          </w:tcPr>
          <w:p w14:paraId="0579A289" w14:textId="77777777" w:rsidR="00533585" w:rsidRPr="005927EA" w:rsidRDefault="00533585" w:rsidP="00533585">
            <w:pPr>
              <w:suppressAutoHyphens/>
              <w:rPr>
                <w:rFonts w:cs="Arial"/>
                <w:b/>
                <w:color w:val="FFFFFF" w:themeColor="background1"/>
              </w:rPr>
            </w:pPr>
            <w:r>
              <w:rPr>
                <w:rFonts w:cs="Arial"/>
                <w:b/>
                <w:color w:val="FFFFFF" w:themeColor="background1"/>
              </w:rPr>
              <w:t>2019</w:t>
            </w:r>
          </w:p>
        </w:tc>
        <w:tc>
          <w:tcPr>
            <w:tcW w:w="1985" w:type="dxa"/>
            <w:shd w:val="clear" w:color="auto" w:fill="007FC3"/>
            <w:vAlign w:val="center"/>
          </w:tcPr>
          <w:p w14:paraId="265D0E0E" w14:textId="77777777" w:rsidR="00533585" w:rsidRPr="005927EA" w:rsidRDefault="00533585" w:rsidP="00F87F4C">
            <w:pPr>
              <w:suppressAutoHyphens/>
              <w:rPr>
                <w:rFonts w:cs="Arial"/>
                <w:b/>
                <w:color w:val="FFFFFF" w:themeColor="background1"/>
              </w:rPr>
            </w:pPr>
            <w:r w:rsidRPr="005927EA">
              <w:rPr>
                <w:rFonts w:cs="Arial"/>
                <w:b/>
                <w:color w:val="FFFFFF" w:themeColor="background1"/>
              </w:rPr>
              <w:t>Veränderung in %</w:t>
            </w:r>
          </w:p>
        </w:tc>
      </w:tr>
      <w:tr w:rsidR="00533585" w:rsidRPr="005927EA" w14:paraId="22203C92" w14:textId="77777777" w:rsidTr="00386889">
        <w:trPr>
          <w:trHeight w:hRule="exact" w:val="454"/>
        </w:trPr>
        <w:tc>
          <w:tcPr>
            <w:tcW w:w="4111" w:type="dxa"/>
            <w:vAlign w:val="center"/>
          </w:tcPr>
          <w:p w14:paraId="683308D5" w14:textId="77777777" w:rsidR="00533585" w:rsidRPr="005927EA" w:rsidRDefault="00533585" w:rsidP="00F87F4C">
            <w:pPr>
              <w:suppressAutoHyphens/>
              <w:spacing w:before="120"/>
              <w:rPr>
                <w:rFonts w:cs="Arial"/>
              </w:rPr>
            </w:pPr>
            <w:r w:rsidRPr="00BD47D6">
              <w:rPr>
                <w:rFonts w:cs="Arial"/>
              </w:rPr>
              <w:t>Auftragseingang</w:t>
            </w:r>
            <w:r w:rsidRPr="005927EA">
              <w:rPr>
                <w:rFonts w:cs="Arial"/>
              </w:rPr>
              <w:t xml:space="preserve"> (in Mio. EUR)</w:t>
            </w:r>
          </w:p>
        </w:tc>
        <w:tc>
          <w:tcPr>
            <w:tcW w:w="1626" w:type="dxa"/>
            <w:vAlign w:val="center"/>
          </w:tcPr>
          <w:p w14:paraId="08E6CA5E" w14:textId="77777777" w:rsidR="00533585" w:rsidRPr="00603D4A" w:rsidRDefault="00533585" w:rsidP="00F87F4C">
            <w:pPr>
              <w:suppressAutoHyphens/>
              <w:spacing w:before="120"/>
              <w:rPr>
                <w:rFonts w:cs="Arial"/>
              </w:rPr>
            </w:pPr>
            <w:r w:rsidRPr="00200EFE">
              <w:t>1.701,0</w:t>
            </w:r>
          </w:p>
        </w:tc>
        <w:tc>
          <w:tcPr>
            <w:tcW w:w="1559" w:type="dxa"/>
            <w:vAlign w:val="center"/>
          </w:tcPr>
          <w:p w14:paraId="18EE3CB6" w14:textId="77777777" w:rsidR="00533585" w:rsidRPr="00200EFE" w:rsidRDefault="00533585" w:rsidP="00386889">
            <w:pPr>
              <w:suppressAutoHyphens/>
              <w:spacing w:before="120"/>
            </w:pPr>
            <w:r>
              <w:t>1.774,1</w:t>
            </w:r>
          </w:p>
        </w:tc>
        <w:tc>
          <w:tcPr>
            <w:tcW w:w="1985" w:type="dxa"/>
            <w:vAlign w:val="center"/>
          </w:tcPr>
          <w:p w14:paraId="069BCD50" w14:textId="77777777" w:rsidR="00533585" w:rsidRPr="00533585" w:rsidRDefault="00533585" w:rsidP="00F87F4C">
            <w:pPr>
              <w:suppressAutoHyphens/>
              <w:spacing w:before="120"/>
              <w:rPr>
                <w:rFonts w:cs="Arial"/>
              </w:rPr>
            </w:pPr>
            <w:r w:rsidRPr="00533585">
              <w:rPr>
                <w:rFonts w:cs="Arial"/>
              </w:rPr>
              <w:t>4,3</w:t>
            </w:r>
          </w:p>
        </w:tc>
      </w:tr>
      <w:tr w:rsidR="00533585" w:rsidRPr="005927EA" w14:paraId="2EEBE3BE" w14:textId="77777777" w:rsidTr="00386889">
        <w:trPr>
          <w:trHeight w:hRule="exact" w:val="454"/>
        </w:trPr>
        <w:tc>
          <w:tcPr>
            <w:tcW w:w="4111" w:type="dxa"/>
            <w:vAlign w:val="center"/>
          </w:tcPr>
          <w:p w14:paraId="49C083F5" w14:textId="77777777" w:rsidR="00533585" w:rsidRPr="005927EA" w:rsidRDefault="00533585" w:rsidP="00F87F4C">
            <w:pPr>
              <w:suppressAutoHyphens/>
              <w:spacing w:before="120"/>
              <w:rPr>
                <w:rFonts w:cs="Arial"/>
              </w:rPr>
            </w:pPr>
            <w:r w:rsidRPr="00BD47D6">
              <w:rPr>
                <w:rFonts w:cs="Arial"/>
              </w:rPr>
              <w:t>Umsatz</w:t>
            </w:r>
            <w:r w:rsidRPr="005927EA">
              <w:rPr>
                <w:rFonts w:cs="Arial"/>
              </w:rPr>
              <w:t xml:space="preserve"> (in Mio. EUR)</w:t>
            </w:r>
          </w:p>
        </w:tc>
        <w:tc>
          <w:tcPr>
            <w:tcW w:w="1626" w:type="dxa"/>
            <w:vAlign w:val="center"/>
          </w:tcPr>
          <w:p w14:paraId="79931C73" w14:textId="77777777" w:rsidR="00533585" w:rsidRPr="00603D4A" w:rsidRDefault="00533585" w:rsidP="00F87F4C">
            <w:pPr>
              <w:suppressAutoHyphens/>
              <w:spacing w:before="120"/>
              <w:rPr>
                <w:rFonts w:cs="Arial"/>
              </w:rPr>
            </w:pPr>
            <w:r w:rsidRPr="00200EFE">
              <w:rPr>
                <w14:textOutline w14:w="0" w14:cap="flat" w14:cmpd="sng" w14:algn="ctr">
                  <w14:noFill/>
                  <w14:prstDash w14:val="solid"/>
                  <w14:round/>
                </w14:textOutline>
              </w:rPr>
              <w:t>1.636,8</w:t>
            </w:r>
          </w:p>
        </w:tc>
        <w:tc>
          <w:tcPr>
            <w:tcW w:w="1559" w:type="dxa"/>
            <w:vAlign w:val="center"/>
          </w:tcPr>
          <w:p w14:paraId="1BB76ECD" w14:textId="77777777" w:rsidR="00533585" w:rsidRPr="00200EFE" w:rsidRDefault="00533585" w:rsidP="00386889">
            <w:pPr>
              <w:suppressAutoHyphens/>
              <w:spacing w:before="120"/>
            </w:pPr>
            <w:r>
              <w:t>1.750,7</w:t>
            </w:r>
          </w:p>
        </w:tc>
        <w:tc>
          <w:tcPr>
            <w:tcW w:w="1985" w:type="dxa"/>
            <w:vAlign w:val="center"/>
          </w:tcPr>
          <w:p w14:paraId="67226E3C" w14:textId="77777777" w:rsidR="00533585" w:rsidRPr="00533585" w:rsidRDefault="00533585" w:rsidP="00533585">
            <w:pPr>
              <w:suppressAutoHyphens/>
              <w:spacing w:before="120"/>
              <w:rPr>
                <w:rFonts w:cs="Arial"/>
              </w:rPr>
            </w:pPr>
            <w:r w:rsidRPr="00533585">
              <w:rPr>
                <w:rFonts w:cs="Arial"/>
              </w:rPr>
              <w:t>7,0</w:t>
            </w:r>
          </w:p>
        </w:tc>
      </w:tr>
      <w:tr w:rsidR="00533585" w:rsidRPr="005927EA" w14:paraId="0E51022E" w14:textId="77777777" w:rsidTr="00386889">
        <w:trPr>
          <w:trHeight w:hRule="exact" w:val="454"/>
        </w:trPr>
        <w:tc>
          <w:tcPr>
            <w:tcW w:w="4111" w:type="dxa"/>
            <w:vAlign w:val="center"/>
          </w:tcPr>
          <w:p w14:paraId="2A8CB1BD" w14:textId="77777777" w:rsidR="00533585" w:rsidRPr="005927EA" w:rsidRDefault="00533585" w:rsidP="00F87F4C">
            <w:pPr>
              <w:suppressAutoHyphens/>
              <w:spacing w:before="120"/>
              <w:rPr>
                <w:rFonts w:cs="Arial"/>
              </w:rPr>
            </w:pPr>
            <w:r w:rsidRPr="00BD47D6">
              <w:rPr>
                <w:rFonts w:cs="Arial"/>
              </w:rPr>
              <w:t>EBIT</w:t>
            </w:r>
            <w:r w:rsidRPr="005927EA">
              <w:rPr>
                <w:rFonts w:cs="Arial"/>
              </w:rPr>
              <w:t xml:space="preserve"> (in Mio. EUR)</w:t>
            </w:r>
          </w:p>
        </w:tc>
        <w:tc>
          <w:tcPr>
            <w:tcW w:w="1626" w:type="dxa"/>
            <w:vAlign w:val="center"/>
          </w:tcPr>
          <w:p w14:paraId="728B5E99" w14:textId="77777777" w:rsidR="00533585" w:rsidRPr="00603D4A" w:rsidRDefault="00533585" w:rsidP="00F87F4C">
            <w:pPr>
              <w:suppressAutoHyphens/>
              <w:spacing w:before="120"/>
              <w:rPr>
                <w:rFonts w:cs="Arial"/>
              </w:rPr>
            </w:pPr>
            <w:r w:rsidRPr="00200EFE">
              <w:rPr>
                <w:rFonts w:cs="Arial"/>
                <w:bCs/>
                <w:lang w:eastAsia="de-DE"/>
              </w:rPr>
              <w:t>11</w:t>
            </w:r>
            <w:r>
              <w:rPr>
                <w:rFonts w:cs="Arial"/>
                <w:bCs/>
                <w:lang w:eastAsia="de-DE"/>
              </w:rPr>
              <w:t>7</w:t>
            </w:r>
            <w:r w:rsidRPr="00200EFE">
              <w:rPr>
                <w:rFonts w:cs="Arial"/>
                <w:bCs/>
                <w:lang w:eastAsia="de-DE"/>
              </w:rPr>
              <w:t>,</w:t>
            </w:r>
            <w:r>
              <w:rPr>
                <w:rFonts w:cs="Arial"/>
                <w:bCs/>
                <w:lang w:eastAsia="de-DE"/>
              </w:rPr>
              <w:t>5</w:t>
            </w:r>
          </w:p>
        </w:tc>
        <w:tc>
          <w:tcPr>
            <w:tcW w:w="1559" w:type="dxa"/>
            <w:vAlign w:val="center"/>
          </w:tcPr>
          <w:p w14:paraId="67B90399" w14:textId="77777777" w:rsidR="00533585" w:rsidRPr="00200EFE" w:rsidRDefault="00533585" w:rsidP="00386889">
            <w:pPr>
              <w:suppressAutoHyphens/>
              <w:spacing w:before="120"/>
              <w:rPr>
                <w:rFonts w:cs="Arial"/>
                <w:bCs/>
                <w:lang w:eastAsia="de-DE"/>
              </w:rPr>
            </w:pPr>
            <w:r>
              <w:rPr>
                <w:rFonts w:cs="Arial"/>
                <w:bCs/>
                <w:lang w:eastAsia="de-DE"/>
              </w:rPr>
              <w:t>132,9</w:t>
            </w:r>
          </w:p>
        </w:tc>
        <w:tc>
          <w:tcPr>
            <w:tcW w:w="1985" w:type="dxa"/>
            <w:vAlign w:val="center"/>
          </w:tcPr>
          <w:p w14:paraId="3FCBF3B3" w14:textId="77777777" w:rsidR="00533585" w:rsidRPr="00533585" w:rsidRDefault="00533585" w:rsidP="00F87F4C">
            <w:pPr>
              <w:suppressAutoHyphens/>
              <w:spacing w:before="120"/>
              <w:rPr>
                <w:rFonts w:cs="Arial"/>
              </w:rPr>
            </w:pPr>
            <w:r w:rsidRPr="00533585">
              <w:rPr>
                <w:rFonts w:cs="Arial"/>
              </w:rPr>
              <w:t>13,1</w:t>
            </w:r>
          </w:p>
        </w:tc>
      </w:tr>
      <w:tr w:rsidR="00533585" w:rsidRPr="005927EA" w14:paraId="3494ACA9" w14:textId="77777777" w:rsidTr="00386889">
        <w:trPr>
          <w:trHeight w:hRule="exact" w:val="454"/>
        </w:trPr>
        <w:tc>
          <w:tcPr>
            <w:tcW w:w="4111" w:type="dxa"/>
            <w:vAlign w:val="center"/>
          </w:tcPr>
          <w:p w14:paraId="54CD649E" w14:textId="77777777" w:rsidR="00533585" w:rsidRPr="005927EA" w:rsidRDefault="00533585" w:rsidP="00F87F4C">
            <w:pPr>
              <w:suppressAutoHyphens/>
              <w:spacing w:before="120"/>
              <w:rPr>
                <w:rFonts w:cs="Arial"/>
              </w:rPr>
            </w:pPr>
            <w:r>
              <w:rPr>
                <w:rFonts w:cs="Arial"/>
              </w:rPr>
              <w:t>Konzernergebnis</w:t>
            </w:r>
            <w:r w:rsidRPr="005927EA">
              <w:rPr>
                <w:rFonts w:cs="Arial"/>
              </w:rPr>
              <w:t xml:space="preserve"> (in Mio. EUR)</w:t>
            </w:r>
          </w:p>
        </w:tc>
        <w:tc>
          <w:tcPr>
            <w:tcW w:w="1626" w:type="dxa"/>
            <w:vAlign w:val="center"/>
          </w:tcPr>
          <w:p w14:paraId="6699ED4B" w14:textId="77777777" w:rsidR="00533585" w:rsidRPr="00693A6E" w:rsidRDefault="00533585" w:rsidP="00F87F4C">
            <w:pPr>
              <w:suppressAutoHyphens/>
              <w:spacing w:before="120"/>
            </w:pPr>
            <w:r w:rsidRPr="00200EFE">
              <w:rPr>
                <w:rFonts w:cs="Arial"/>
                <w:bCs/>
                <w:lang w:eastAsia="de-DE"/>
              </w:rPr>
              <w:t>8</w:t>
            </w:r>
            <w:r>
              <w:rPr>
                <w:rFonts w:cs="Arial"/>
                <w:bCs/>
                <w:lang w:eastAsia="de-DE"/>
              </w:rPr>
              <w:t>1</w:t>
            </w:r>
            <w:r w:rsidRPr="00200EFE">
              <w:rPr>
                <w:rFonts w:cs="Arial"/>
                <w:bCs/>
                <w:lang w:eastAsia="de-DE"/>
              </w:rPr>
              <w:t>,</w:t>
            </w:r>
            <w:r>
              <w:rPr>
                <w:rFonts w:cs="Arial"/>
                <w:bCs/>
                <w:lang w:eastAsia="de-DE"/>
              </w:rPr>
              <w:t>7</w:t>
            </w:r>
          </w:p>
        </w:tc>
        <w:tc>
          <w:tcPr>
            <w:tcW w:w="1559" w:type="dxa"/>
            <w:vAlign w:val="center"/>
          </w:tcPr>
          <w:p w14:paraId="3A3145AA" w14:textId="77777777" w:rsidR="00533585" w:rsidRPr="00200EFE" w:rsidRDefault="00533585" w:rsidP="00386889">
            <w:pPr>
              <w:suppressAutoHyphens/>
              <w:spacing w:before="120"/>
              <w:rPr>
                <w:rFonts w:cs="Arial"/>
                <w:bCs/>
                <w:lang w:eastAsia="de-DE"/>
              </w:rPr>
            </w:pPr>
            <w:r>
              <w:rPr>
                <w:rFonts w:cs="Arial"/>
                <w:bCs/>
                <w:lang w:eastAsia="de-DE"/>
              </w:rPr>
              <w:t>93,9</w:t>
            </w:r>
          </w:p>
        </w:tc>
        <w:tc>
          <w:tcPr>
            <w:tcW w:w="1985" w:type="dxa"/>
            <w:vAlign w:val="center"/>
          </w:tcPr>
          <w:p w14:paraId="0F4A686C" w14:textId="77777777" w:rsidR="00533585" w:rsidRPr="00533585" w:rsidRDefault="00533585" w:rsidP="00F87F4C">
            <w:pPr>
              <w:suppressAutoHyphens/>
              <w:spacing w:before="120"/>
              <w:rPr>
                <w:rFonts w:cs="Arial"/>
              </w:rPr>
            </w:pPr>
            <w:r w:rsidRPr="00533585">
              <w:rPr>
                <w:rFonts w:cs="Arial"/>
              </w:rPr>
              <w:t>14,9</w:t>
            </w:r>
          </w:p>
        </w:tc>
      </w:tr>
      <w:tr w:rsidR="00533585" w:rsidRPr="005927EA" w14:paraId="507832CE" w14:textId="77777777" w:rsidTr="00386889">
        <w:trPr>
          <w:trHeight w:hRule="exact" w:val="454"/>
        </w:trPr>
        <w:tc>
          <w:tcPr>
            <w:tcW w:w="4111" w:type="dxa"/>
            <w:vAlign w:val="center"/>
          </w:tcPr>
          <w:p w14:paraId="46B0966D" w14:textId="77777777" w:rsidR="00533585" w:rsidRPr="005927EA" w:rsidRDefault="00533585" w:rsidP="00F87F4C">
            <w:pPr>
              <w:suppressAutoHyphens/>
              <w:spacing w:before="120"/>
              <w:rPr>
                <w:rFonts w:cs="Arial"/>
              </w:rPr>
            </w:pPr>
            <w:r w:rsidRPr="005927EA">
              <w:rPr>
                <w:rFonts w:cs="Arial"/>
              </w:rPr>
              <w:t>F&amp;E-Aufwand (in Mio. EUR)</w:t>
            </w:r>
          </w:p>
        </w:tc>
        <w:tc>
          <w:tcPr>
            <w:tcW w:w="1626" w:type="dxa"/>
            <w:vAlign w:val="center"/>
          </w:tcPr>
          <w:p w14:paraId="7F87B4ED" w14:textId="77777777" w:rsidR="00533585" w:rsidRPr="00603D4A" w:rsidRDefault="00533585" w:rsidP="00F87F4C">
            <w:pPr>
              <w:suppressAutoHyphens/>
              <w:spacing w:before="120"/>
              <w:rPr>
                <w:rFonts w:cs="Arial"/>
              </w:rPr>
            </w:pPr>
            <w:r w:rsidRPr="00B0462F">
              <w:t>192,5</w:t>
            </w:r>
          </w:p>
        </w:tc>
        <w:tc>
          <w:tcPr>
            <w:tcW w:w="1559" w:type="dxa"/>
            <w:vAlign w:val="center"/>
          </w:tcPr>
          <w:p w14:paraId="1434E66E" w14:textId="77777777" w:rsidR="00533585" w:rsidRDefault="00533585" w:rsidP="00386889">
            <w:pPr>
              <w:suppressAutoHyphens/>
              <w:spacing w:before="120"/>
            </w:pPr>
            <w:r>
              <w:t>202,0</w:t>
            </w:r>
          </w:p>
        </w:tc>
        <w:tc>
          <w:tcPr>
            <w:tcW w:w="1985" w:type="dxa"/>
            <w:vAlign w:val="center"/>
          </w:tcPr>
          <w:p w14:paraId="4C78C707" w14:textId="77777777" w:rsidR="00533585" w:rsidRPr="00533585" w:rsidRDefault="00533585" w:rsidP="00F87F4C">
            <w:pPr>
              <w:suppressAutoHyphens/>
              <w:spacing w:before="120"/>
              <w:rPr>
                <w:rFonts w:cs="Arial"/>
              </w:rPr>
            </w:pPr>
            <w:r w:rsidRPr="00533585">
              <w:rPr>
                <w:rFonts w:cs="Arial"/>
              </w:rPr>
              <w:t>4,9</w:t>
            </w:r>
          </w:p>
        </w:tc>
      </w:tr>
      <w:tr w:rsidR="00533585" w:rsidRPr="005927EA" w14:paraId="73189BF3" w14:textId="77777777" w:rsidTr="00990D45">
        <w:trPr>
          <w:trHeight w:hRule="exact" w:val="623"/>
        </w:trPr>
        <w:tc>
          <w:tcPr>
            <w:tcW w:w="4111" w:type="dxa"/>
            <w:vAlign w:val="center"/>
          </w:tcPr>
          <w:p w14:paraId="2E41EBD1" w14:textId="09EAC4C3" w:rsidR="00533585" w:rsidRPr="005927EA" w:rsidRDefault="00533585" w:rsidP="00990D45">
            <w:pPr>
              <w:suppressAutoHyphens/>
              <w:spacing w:before="120" w:line="240" w:lineRule="auto"/>
              <w:rPr>
                <w:rFonts w:cs="Arial"/>
              </w:rPr>
            </w:pPr>
            <w:r w:rsidRPr="005927EA">
              <w:rPr>
                <w:rFonts w:cs="Arial"/>
              </w:rPr>
              <w:t xml:space="preserve">Mitarbeiter </w:t>
            </w:r>
            <w:r>
              <w:rPr>
                <w:rFonts w:cs="Arial"/>
              </w:rPr>
              <w:t>per 31. Dezember</w:t>
            </w:r>
            <w:r w:rsidR="00990D45">
              <w:rPr>
                <w:rFonts w:cs="Arial"/>
              </w:rPr>
              <w:t xml:space="preserve"> </w:t>
            </w:r>
            <w:r w:rsidR="00990D45" w:rsidRPr="00990D45">
              <w:rPr>
                <w:rFonts w:cs="Arial"/>
                <w:sz w:val="14"/>
              </w:rPr>
              <w:t>(Zahl wurde an unternehmensinterne Vorgaben angepasst)</w:t>
            </w:r>
          </w:p>
        </w:tc>
        <w:tc>
          <w:tcPr>
            <w:tcW w:w="1626" w:type="dxa"/>
            <w:vAlign w:val="center"/>
          </w:tcPr>
          <w:p w14:paraId="320088BE" w14:textId="77777777" w:rsidR="00533585" w:rsidRPr="00603D4A" w:rsidRDefault="00533585" w:rsidP="00533585">
            <w:pPr>
              <w:suppressAutoHyphens/>
              <w:spacing w:before="120"/>
              <w:rPr>
                <w:rFonts w:cs="Arial"/>
              </w:rPr>
            </w:pPr>
            <w:r>
              <w:rPr>
                <w:rFonts w:cs="Arial"/>
              </w:rPr>
              <w:t>9.948</w:t>
            </w:r>
          </w:p>
        </w:tc>
        <w:tc>
          <w:tcPr>
            <w:tcW w:w="1559" w:type="dxa"/>
            <w:vAlign w:val="center"/>
          </w:tcPr>
          <w:p w14:paraId="598AB65E" w14:textId="77777777" w:rsidR="00533585" w:rsidRPr="00E57EBD" w:rsidRDefault="00533585" w:rsidP="00386889">
            <w:pPr>
              <w:suppressAutoHyphens/>
              <w:spacing w:before="120"/>
              <w:rPr>
                <w:snapToGrid w:val="0"/>
                <w:lang w:eastAsia="de-DE"/>
              </w:rPr>
            </w:pPr>
            <w:r>
              <w:rPr>
                <w:snapToGrid w:val="0"/>
                <w:lang w:eastAsia="de-DE"/>
              </w:rPr>
              <w:t>10.204</w:t>
            </w:r>
          </w:p>
        </w:tc>
        <w:tc>
          <w:tcPr>
            <w:tcW w:w="1985" w:type="dxa"/>
            <w:vAlign w:val="center"/>
          </w:tcPr>
          <w:p w14:paraId="398309B8" w14:textId="77777777" w:rsidR="00533585" w:rsidRPr="00533585" w:rsidRDefault="00533585" w:rsidP="00F87F4C">
            <w:pPr>
              <w:suppressAutoHyphens/>
              <w:spacing w:before="120"/>
              <w:rPr>
                <w:rFonts w:cs="Arial"/>
              </w:rPr>
            </w:pPr>
            <w:r w:rsidRPr="00533585">
              <w:rPr>
                <w:rFonts w:cs="Arial"/>
              </w:rPr>
              <w:t>2,6</w:t>
            </w:r>
          </w:p>
        </w:tc>
      </w:tr>
    </w:tbl>
    <w:p w14:paraId="00334DFD" w14:textId="143B829E" w:rsidR="00504747" w:rsidRPr="00504747" w:rsidRDefault="00F36484" w:rsidP="00504747">
      <w:pPr>
        <w:rPr>
          <w:rFonts w:cs="Arial"/>
          <w:szCs w:val="20"/>
        </w:rPr>
      </w:pPr>
      <w:r>
        <w:rPr>
          <w:rFonts w:cs="Arial"/>
          <w:szCs w:val="20"/>
        </w:rPr>
        <w:br/>
      </w:r>
      <w:r w:rsidR="00504747" w:rsidRPr="00504747">
        <w:rPr>
          <w:rFonts w:cs="Arial"/>
          <w:szCs w:val="20"/>
        </w:rPr>
        <w:t>Bild: SICK_Vorstandsvorsitzender Robert Bauer (© SICK AG)</w:t>
      </w:r>
    </w:p>
    <w:p w14:paraId="4B439137" w14:textId="77777777" w:rsidR="00504747" w:rsidRPr="00504747" w:rsidRDefault="00504747" w:rsidP="00504747">
      <w:pPr>
        <w:rPr>
          <w:rFonts w:cs="Arial"/>
          <w:szCs w:val="20"/>
        </w:rPr>
      </w:pPr>
      <w:r w:rsidRPr="00504747">
        <w:rPr>
          <w:rFonts w:cs="Arial"/>
          <w:szCs w:val="20"/>
        </w:rPr>
        <w:t>Bildunterschrift: Dr. Robert Bauer, Vorstandsvorsitzender der SICK AG.</w:t>
      </w:r>
      <w:r>
        <w:rPr>
          <w:rFonts w:cs="Arial"/>
          <w:szCs w:val="20"/>
        </w:rPr>
        <w:br/>
      </w:r>
    </w:p>
    <w:p w14:paraId="7A26CE8F" w14:textId="77777777" w:rsidR="00504747" w:rsidRPr="00504747" w:rsidRDefault="00504747" w:rsidP="00504747">
      <w:pPr>
        <w:rPr>
          <w:rFonts w:cs="Arial"/>
          <w:szCs w:val="20"/>
        </w:rPr>
      </w:pPr>
      <w:r w:rsidRPr="00504747">
        <w:rPr>
          <w:rFonts w:cs="Arial"/>
          <w:szCs w:val="20"/>
        </w:rPr>
        <w:t>Bild: SICK_Infografik_Bilanzkennzah</w:t>
      </w:r>
      <w:r>
        <w:rPr>
          <w:rFonts w:cs="Arial"/>
          <w:szCs w:val="20"/>
        </w:rPr>
        <w:t>len 2019</w:t>
      </w:r>
      <w:r w:rsidRPr="00504747">
        <w:rPr>
          <w:rFonts w:cs="Arial"/>
          <w:szCs w:val="20"/>
        </w:rPr>
        <w:t xml:space="preserve"> (© SICK AG)</w:t>
      </w:r>
    </w:p>
    <w:p w14:paraId="3DCF3B89" w14:textId="77777777" w:rsidR="00504747" w:rsidRDefault="00504747" w:rsidP="00504747">
      <w:pPr>
        <w:rPr>
          <w:rFonts w:cs="Arial"/>
          <w:szCs w:val="20"/>
        </w:rPr>
      </w:pPr>
      <w:r w:rsidRPr="00504747">
        <w:rPr>
          <w:rFonts w:cs="Arial"/>
          <w:szCs w:val="20"/>
        </w:rPr>
        <w:t xml:space="preserve">Bildunterschrift: </w:t>
      </w:r>
      <w:r w:rsidR="00C86499">
        <w:rPr>
          <w:rFonts w:cs="Arial"/>
          <w:szCs w:val="20"/>
        </w:rPr>
        <w:t>Wichtige</w:t>
      </w:r>
      <w:r w:rsidRPr="00504747">
        <w:rPr>
          <w:rFonts w:cs="Arial"/>
          <w:szCs w:val="20"/>
        </w:rPr>
        <w:t xml:space="preserve"> </w:t>
      </w:r>
      <w:r w:rsidR="00C86499">
        <w:rPr>
          <w:rFonts w:cs="Arial"/>
          <w:szCs w:val="20"/>
        </w:rPr>
        <w:t>K</w:t>
      </w:r>
      <w:r w:rsidRPr="00504747">
        <w:rPr>
          <w:rFonts w:cs="Arial"/>
          <w:szCs w:val="20"/>
        </w:rPr>
        <w:t>ennzahlen d</w:t>
      </w:r>
      <w:r>
        <w:rPr>
          <w:rFonts w:cs="Arial"/>
          <w:szCs w:val="20"/>
        </w:rPr>
        <w:t>er SICK AG im Geschäftsjahr 2019</w:t>
      </w:r>
      <w:r w:rsidRPr="00504747">
        <w:rPr>
          <w:rFonts w:cs="Arial"/>
          <w:szCs w:val="20"/>
        </w:rPr>
        <w:t xml:space="preserve"> auf einen Blick.</w:t>
      </w:r>
    </w:p>
    <w:p w14:paraId="522BCCB6" w14:textId="77777777" w:rsidR="00533585" w:rsidRDefault="00533585" w:rsidP="00504747">
      <w:pPr>
        <w:rPr>
          <w:rFonts w:cs="Arial"/>
          <w:szCs w:val="20"/>
        </w:rPr>
      </w:pPr>
    </w:p>
    <w:p w14:paraId="7D55010A" w14:textId="1CE9254B" w:rsidR="00533585" w:rsidRPr="00533585" w:rsidRDefault="00533585" w:rsidP="00533585">
      <w:pPr>
        <w:rPr>
          <w:rFonts w:cs="Arial"/>
          <w:szCs w:val="20"/>
        </w:rPr>
      </w:pPr>
      <w:r w:rsidRPr="00533585">
        <w:rPr>
          <w:rFonts w:cs="Arial"/>
          <w:b/>
          <w:szCs w:val="20"/>
        </w:rPr>
        <w:t>Ansprechpartner</w:t>
      </w:r>
      <w:r w:rsidRPr="00533585">
        <w:rPr>
          <w:rFonts w:cs="Arial"/>
          <w:b/>
          <w:szCs w:val="20"/>
        </w:rPr>
        <w:br/>
      </w:r>
      <w:r w:rsidRPr="00533585">
        <w:rPr>
          <w:rFonts w:cs="Arial"/>
          <w:szCs w:val="20"/>
        </w:rPr>
        <w:t>Diana Kuch │PR Manager │diana.kuch@sick.de</w:t>
      </w:r>
    </w:p>
    <w:p w14:paraId="57B010A3" w14:textId="77777777" w:rsidR="007C7280" w:rsidRDefault="00533585" w:rsidP="007C7280">
      <w:pPr>
        <w:rPr>
          <w:rFonts w:cs="Arial"/>
          <w:szCs w:val="20"/>
        </w:rPr>
      </w:pPr>
      <w:r w:rsidRPr="00533585">
        <w:rPr>
          <w:rFonts w:cs="Arial"/>
          <w:szCs w:val="20"/>
        </w:rPr>
        <w:t>+49 7681 202-5747 │+49 151 598 23 150</w:t>
      </w:r>
    </w:p>
    <w:p w14:paraId="4E09FEC8" w14:textId="77777777" w:rsidR="007C7280" w:rsidRDefault="007C7280" w:rsidP="007C7280">
      <w:pPr>
        <w:rPr>
          <w:rFonts w:cs="Arial"/>
          <w:szCs w:val="20"/>
        </w:rPr>
      </w:pPr>
    </w:p>
    <w:p w14:paraId="48F90AA2" w14:textId="7EA881B8" w:rsidR="007C7280" w:rsidRPr="007C7280" w:rsidRDefault="00F415FC" w:rsidP="007C7280">
      <w:pPr>
        <w:rPr>
          <w:rFonts w:ascii="Helv" w:hAnsi="Helv" w:cs="Helv"/>
          <w:color w:val="007FC3"/>
          <w:szCs w:val="20"/>
          <w:lang w:eastAsia="de-DE"/>
        </w:rPr>
      </w:pPr>
      <w:r w:rsidRPr="007C7280">
        <w:rPr>
          <w:rFonts w:ascii="Helv" w:hAnsi="Helv" w:cs="Helv"/>
          <w:color w:val="007FC3"/>
          <w:szCs w:val="20"/>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sidRPr="007C7280">
          <w:rPr>
            <w:rFonts w:ascii="Helv" w:hAnsi="Helv" w:cs="Helv"/>
            <w:color w:val="007FC3"/>
            <w:szCs w:val="20"/>
            <w:lang w:eastAsia="de-DE"/>
          </w:rPr>
          <w:t>http://www.sick.com</w:t>
        </w:r>
      </w:hyperlink>
    </w:p>
    <w:sectPr w:rsidR="007C7280" w:rsidRPr="007C7280"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30EC1" w14:textId="77777777" w:rsidR="00C536CD" w:rsidRDefault="00C536CD" w:rsidP="00CB0E99">
      <w:pPr>
        <w:spacing w:line="240" w:lineRule="auto"/>
      </w:pPr>
      <w:r>
        <w:separator/>
      </w:r>
    </w:p>
  </w:endnote>
  <w:endnote w:type="continuationSeparator" w:id="0">
    <w:p w14:paraId="42F06B91" w14:textId="77777777" w:rsidR="00C536CD" w:rsidRDefault="00C536C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D4A0F" w14:textId="45D368E5"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2D0D69">
      <w:rPr>
        <w:noProof/>
        <w:sz w:val="14"/>
        <w:szCs w:val="14"/>
      </w:rPr>
      <w:t>3</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D0D69">
      <w:rPr>
        <w:noProof/>
        <w:sz w:val="14"/>
        <w:szCs w:val="14"/>
      </w:rPr>
      <w:t>3</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0B82"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9F1F1" w14:textId="77777777" w:rsidR="00C536CD" w:rsidRDefault="00C536CD" w:rsidP="00CB0E99">
      <w:pPr>
        <w:spacing w:line="240" w:lineRule="auto"/>
      </w:pPr>
      <w:r>
        <w:separator/>
      </w:r>
    </w:p>
  </w:footnote>
  <w:footnote w:type="continuationSeparator" w:id="0">
    <w:p w14:paraId="7E9C583E" w14:textId="77777777" w:rsidR="00C536CD" w:rsidRDefault="00C536CD"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F2D1"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328AF4E9" wp14:editId="17E26E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3283"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030D9DB7"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4AF64A1" wp14:editId="37B465B5">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FC"/>
    <w:rsid w:val="000077BD"/>
    <w:rsid w:val="00047437"/>
    <w:rsid w:val="00074CB2"/>
    <w:rsid w:val="0008423C"/>
    <w:rsid w:val="000C6FAE"/>
    <w:rsid w:val="000E218D"/>
    <w:rsid w:val="000E23FF"/>
    <w:rsid w:val="000E2D3C"/>
    <w:rsid w:val="000E7406"/>
    <w:rsid w:val="000F5C66"/>
    <w:rsid w:val="001310B9"/>
    <w:rsid w:val="0014437D"/>
    <w:rsid w:val="00144B8E"/>
    <w:rsid w:val="0015775E"/>
    <w:rsid w:val="00161D1B"/>
    <w:rsid w:val="00166B34"/>
    <w:rsid w:val="00172098"/>
    <w:rsid w:val="0017428D"/>
    <w:rsid w:val="00190A9B"/>
    <w:rsid w:val="001A5682"/>
    <w:rsid w:val="001B3A32"/>
    <w:rsid w:val="001C6197"/>
    <w:rsid w:val="001E47B4"/>
    <w:rsid w:val="001E51CD"/>
    <w:rsid w:val="00215810"/>
    <w:rsid w:val="00216883"/>
    <w:rsid w:val="00227C3D"/>
    <w:rsid w:val="002303F2"/>
    <w:rsid w:val="002379C3"/>
    <w:rsid w:val="00241027"/>
    <w:rsid w:val="00243368"/>
    <w:rsid w:val="00246DAA"/>
    <w:rsid w:val="0025113F"/>
    <w:rsid w:val="002610B2"/>
    <w:rsid w:val="00280D81"/>
    <w:rsid w:val="00286D84"/>
    <w:rsid w:val="002A4905"/>
    <w:rsid w:val="002B10E3"/>
    <w:rsid w:val="002C16DF"/>
    <w:rsid w:val="002D0D69"/>
    <w:rsid w:val="00301CB6"/>
    <w:rsid w:val="00311305"/>
    <w:rsid w:val="0033268E"/>
    <w:rsid w:val="00365DDC"/>
    <w:rsid w:val="00377DF0"/>
    <w:rsid w:val="00386889"/>
    <w:rsid w:val="00390C85"/>
    <w:rsid w:val="00392F4D"/>
    <w:rsid w:val="00394B23"/>
    <w:rsid w:val="003B1CA4"/>
    <w:rsid w:val="003B7380"/>
    <w:rsid w:val="003E6F2C"/>
    <w:rsid w:val="003F0285"/>
    <w:rsid w:val="003F6798"/>
    <w:rsid w:val="00435440"/>
    <w:rsid w:val="00446869"/>
    <w:rsid w:val="0045390B"/>
    <w:rsid w:val="00460332"/>
    <w:rsid w:val="004802B4"/>
    <w:rsid w:val="004A0A9C"/>
    <w:rsid w:val="004D70DF"/>
    <w:rsid w:val="005027F6"/>
    <w:rsid w:val="00504747"/>
    <w:rsid w:val="00514A5D"/>
    <w:rsid w:val="00533585"/>
    <w:rsid w:val="00547286"/>
    <w:rsid w:val="00554D1F"/>
    <w:rsid w:val="005554B4"/>
    <w:rsid w:val="005774AB"/>
    <w:rsid w:val="005864EF"/>
    <w:rsid w:val="005D6C83"/>
    <w:rsid w:val="005E790D"/>
    <w:rsid w:val="005F0DE6"/>
    <w:rsid w:val="005F4798"/>
    <w:rsid w:val="00620BA5"/>
    <w:rsid w:val="006374FF"/>
    <w:rsid w:val="00637F15"/>
    <w:rsid w:val="006A704A"/>
    <w:rsid w:val="006A725F"/>
    <w:rsid w:val="006C5AFB"/>
    <w:rsid w:val="006D339F"/>
    <w:rsid w:val="006D7DA2"/>
    <w:rsid w:val="006E46F0"/>
    <w:rsid w:val="006F09FE"/>
    <w:rsid w:val="006F6DE2"/>
    <w:rsid w:val="00721ACC"/>
    <w:rsid w:val="00731011"/>
    <w:rsid w:val="00735B1C"/>
    <w:rsid w:val="00744175"/>
    <w:rsid w:val="00746DA4"/>
    <w:rsid w:val="00753F19"/>
    <w:rsid w:val="0075680B"/>
    <w:rsid w:val="00785176"/>
    <w:rsid w:val="0079794B"/>
    <w:rsid w:val="007A0763"/>
    <w:rsid w:val="007B13C2"/>
    <w:rsid w:val="007B152C"/>
    <w:rsid w:val="007B31EA"/>
    <w:rsid w:val="007C7280"/>
    <w:rsid w:val="007D7404"/>
    <w:rsid w:val="007E6CE3"/>
    <w:rsid w:val="007F0429"/>
    <w:rsid w:val="00804217"/>
    <w:rsid w:val="00806DBE"/>
    <w:rsid w:val="00836C25"/>
    <w:rsid w:val="008940AA"/>
    <w:rsid w:val="008B6429"/>
    <w:rsid w:val="008C21FC"/>
    <w:rsid w:val="008E34F2"/>
    <w:rsid w:val="0090456B"/>
    <w:rsid w:val="00910D8D"/>
    <w:rsid w:val="00935F7E"/>
    <w:rsid w:val="009541C7"/>
    <w:rsid w:val="00982F3B"/>
    <w:rsid w:val="00990D45"/>
    <w:rsid w:val="009C1042"/>
    <w:rsid w:val="009C2371"/>
    <w:rsid w:val="009C7C76"/>
    <w:rsid w:val="009F46BC"/>
    <w:rsid w:val="009F4C2C"/>
    <w:rsid w:val="00A17DC8"/>
    <w:rsid w:val="00A33D14"/>
    <w:rsid w:val="00A4395C"/>
    <w:rsid w:val="00A4733D"/>
    <w:rsid w:val="00A775E9"/>
    <w:rsid w:val="00A863F5"/>
    <w:rsid w:val="00AB0A33"/>
    <w:rsid w:val="00AB73BD"/>
    <w:rsid w:val="00AD2668"/>
    <w:rsid w:val="00AE39C0"/>
    <w:rsid w:val="00AE4A53"/>
    <w:rsid w:val="00AE782F"/>
    <w:rsid w:val="00B03194"/>
    <w:rsid w:val="00B123CA"/>
    <w:rsid w:val="00B30C5E"/>
    <w:rsid w:val="00B31D5B"/>
    <w:rsid w:val="00B327A9"/>
    <w:rsid w:val="00B35CF4"/>
    <w:rsid w:val="00B418F4"/>
    <w:rsid w:val="00B54F8A"/>
    <w:rsid w:val="00B71337"/>
    <w:rsid w:val="00BA26EB"/>
    <w:rsid w:val="00BC6C05"/>
    <w:rsid w:val="00BD1EED"/>
    <w:rsid w:val="00BD2BE3"/>
    <w:rsid w:val="00C0044E"/>
    <w:rsid w:val="00C02C79"/>
    <w:rsid w:val="00C04E45"/>
    <w:rsid w:val="00C20493"/>
    <w:rsid w:val="00C22B42"/>
    <w:rsid w:val="00C262B1"/>
    <w:rsid w:val="00C27B9E"/>
    <w:rsid w:val="00C34445"/>
    <w:rsid w:val="00C3606D"/>
    <w:rsid w:val="00C536CD"/>
    <w:rsid w:val="00C7643D"/>
    <w:rsid w:val="00C84DBD"/>
    <w:rsid w:val="00C86499"/>
    <w:rsid w:val="00C92212"/>
    <w:rsid w:val="00CB0709"/>
    <w:rsid w:val="00CB0E99"/>
    <w:rsid w:val="00CB6416"/>
    <w:rsid w:val="00CC083F"/>
    <w:rsid w:val="00CC4CEA"/>
    <w:rsid w:val="00CD3E83"/>
    <w:rsid w:val="00D36503"/>
    <w:rsid w:val="00D73797"/>
    <w:rsid w:val="00D7448E"/>
    <w:rsid w:val="00D876C8"/>
    <w:rsid w:val="00D94555"/>
    <w:rsid w:val="00D97B8B"/>
    <w:rsid w:val="00DA1D78"/>
    <w:rsid w:val="00DA4CC7"/>
    <w:rsid w:val="00DC0193"/>
    <w:rsid w:val="00DC6160"/>
    <w:rsid w:val="00DD4751"/>
    <w:rsid w:val="00DF74C4"/>
    <w:rsid w:val="00E00220"/>
    <w:rsid w:val="00E04E05"/>
    <w:rsid w:val="00E273D4"/>
    <w:rsid w:val="00E27D5C"/>
    <w:rsid w:val="00E33724"/>
    <w:rsid w:val="00E43D52"/>
    <w:rsid w:val="00E62ABE"/>
    <w:rsid w:val="00E753B2"/>
    <w:rsid w:val="00E9537E"/>
    <w:rsid w:val="00EA4782"/>
    <w:rsid w:val="00EB521A"/>
    <w:rsid w:val="00ED34D2"/>
    <w:rsid w:val="00EE67CC"/>
    <w:rsid w:val="00F01F82"/>
    <w:rsid w:val="00F05A05"/>
    <w:rsid w:val="00F07A7B"/>
    <w:rsid w:val="00F17459"/>
    <w:rsid w:val="00F243ED"/>
    <w:rsid w:val="00F36484"/>
    <w:rsid w:val="00F415FC"/>
    <w:rsid w:val="00F52337"/>
    <w:rsid w:val="00F5454F"/>
    <w:rsid w:val="00F57517"/>
    <w:rsid w:val="00F71C4A"/>
    <w:rsid w:val="00F7375F"/>
    <w:rsid w:val="00F817B6"/>
    <w:rsid w:val="00F92ADD"/>
    <w:rsid w:val="00F9629B"/>
    <w:rsid w:val="00FA43DE"/>
    <w:rsid w:val="00FB0BDA"/>
    <w:rsid w:val="00FB0FEE"/>
    <w:rsid w:val="00FB7847"/>
    <w:rsid w:val="00FC781C"/>
    <w:rsid w:val="00FD7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2687B395"/>
  <w15:docId w15:val="{DFD3AD4D-7BC9-4AD5-8AAA-28468BE1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804217"/>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1D2A-7CE9-419E-B4D6-A5D8CD16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1251</Words>
  <Characters>8535</Characters>
  <Application>Microsoft Office Word</Application>
  <DocSecurity>0</DocSecurity>
  <Lines>161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Jockmann</cp:lastModifiedBy>
  <cp:revision>54</cp:revision>
  <cp:lastPrinted>2020-04-27T13:04:00Z</cp:lastPrinted>
  <dcterms:created xsi:type="dcterms:W3CDTF">2020-04-08T11:41:00Z</dcterms:created>
  <dcterms:modified xsi:type="dcterms:W3CDTF">2020-04-28T14:49:00Z</dcterms:modified>
</cp:coreProperties>
</file>